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5FF70" w14:textId="5CF3DECE" w:rsidR="006969EA" w:rsidRDefault="00134917" w:rsidP="00420311">
      <w:pPr>
        <w:pStyle w:val="Default"/>
        <w:rPr>
          <w:sz w:val="22"/>
          <w:szCs w:val="22"/>
        </w:rPr>
      </w:pPr>
      <w:r>
        <w:rPr>
          <w:sz w:val="22"/>
          <w:szCs w:val="22"/>
        </w:rPr>
        <w:t>21</w:t>
      </w:r>
      <w:r w:rsidR="00065AF7">
        <w:rPr>
          <w:sz w:val="22"/>
          <w:szCs w:val="22"/>
        </w:rPr>
        <w:t>/0</w:t>
      </w:r>
      <w:r>
        <w:rPr>
          <w:sz w:val="22"/>
          <w:szCs w:val="22"/>
        </w:rPr>
        <w:t>5</w:t>
      </w:r>
      <w:r w:rsidR="00065AF7">
        <w:rPr>
          <w:sz w:val="22"/>
          <w:szCs w:val="22"/>
        </w:rPr>
        <w:t>/24</w:t>
      </w:r>
      <w:r w:rsidR="009D0B73">
        <w:rPr>
          <w:sz w:val="22"/>
          <w:szCs w:val="22"/>
        </w:rPr>
        <w:t xml:space="preserve">                                                        </w:t>
      </w:r>
    </w:p>
    <w:p w14:paraId="4EE059F5" w14:textId="77777777" w:rsidR="00065AF7" w:rsidRDefault="00065AF7" w:rsidP="00420311">
      <w:pPr>
        <w:pStyle w:val="Default"/>
        <w:rPr>
          <w:sz w:val="22"/>
          <w:szCs w:val="22"/>
        </w:rPr>
      </w:pPr>
    </w:p>
    <w:p w14:paraId="75F25D32" w14:textId="05803B82" w:rsidR="002156CE" w:rsidRPr="002156CE" w:rsidRDefault="00134917" w:rsidP="002156CE">
      <w:pPr>
        <w:pStyle w:val="Default"/>
        <w:jc w:val="center"/>
        <w:rPr>
          <w:sz w:val="32"/>
          <w:szCs w:val="32"/>
          <w:u w:val="single"/>
        </w:rPr>
      </w:pPr>
      <w:bookmarkStart w:id="0" w:name="_Hlk163126114"/>
      <w:r>
        <w:rPr>
          <w:sz w:val="32"/>
          <w:szCs w:val="32"/>
          <w:u w:val="single"/>
        </w:rPr>
        <w:t xml:space="preserve">LIES, </w:t>
      </w:r>
      <w:proofErr w:type="gramStart"/>
      <w:r>
        <w:rPr>
          <w:sz w:val="32"/>
          <w:szCs w:val="32"/>
          <w:u w:val="single"/>
        </w:rPr>
        <w:t>DAMN</w:t>
      </w:r>
      <w:proofErr w:type="gramEnd"/>
      <w:r>
        <w:rPr>
          <w:sz w:val="32"/>
          <w:szCs w:val="32"/>
          <w:u w:val="single"/>
        </w:rPr>
        <w:t xml:space="preserve"> LIES and NET ZERO</w:t>
      </w:r>
    </w:p>
    <w:p w14:paraId="009B6AA2" w14:textId="77777777" w:rsidR="002156CE" w:rsidRPr="002156CE" w:rsidRDefault="002156CE" w:rsidP="00420311">
      <w:pPr>
        <w:pStyle w:val="Default"/>
        <w:rPr>
          <w:sz w:val="28"/>
          <w:szCs w:val="28"/>
        </w:rPr>
      </w:pPr>
    </w:p>
    <w:bookmarkEnd w:id="0"/>
    <w:p w14:paraId="6288869A" w14:textId="2A5DC41A" w:rsidR="00924611" w:rsidRPr="00924611" w:rsidRDefault="00924611" w:rsidP="00924611">
      <w:pPr>
        <w:pStyle w:val="NormalWeb"/>
        <w:rPr>
          <w:rFonts w:ascii="Arial" w:eastAsia="Times New Roman" w:hAnsi="Arial" w:cs="Arial"/>
          <w:lang w:eastAsia="en-GB"/>
          <w14:ligatures w14:val="none"/>
        </w:rPr>
      </w:pPr>
      <w:r w:rsidRPr="00DC0672">
        <w:rPr>
          <w:rFonts w:ascii="Arial" w:eastAsia="Times New Roman" w:hAnsi="Arial" w:cs="Arial"/>
          <w:lang w:eastAsia="en-GB"/>
          <w14:ligatures w14:val="none"/>
        </w:rPr>
        <w:t>Ben Pile reported in The Daily Sceptic that t</w:t>
      </w:r>
      <w:r w:rsidRPr="00DC0672">
        <w:rPr>
          <w:rFonts w:ascii="Arial" w:eastAsia="Times New Roman" w:hAnsi="Arial" w:cs="Arial"/>
          <w:lang w:eastAsia="en-GB"/>
          <w14:ligatures w14:val="none"/>
        </w:rPr>
        <w:t xml:space="preserve">he </w:t>
      </w:r>
      <w:r w:rsidRPr="00DC0672">
        <w:rPr>
          <w:rFonts w:ascii="Arial" w:eastAsia="Times New Roman" w:hAnsi="Arial" w:cs="Arial"/>
          <w:i/>
          <w:iCs/>
          <w:lang w:eastAsia="en-GB"/>
          <w14:ligatures w14:val="none"/>
        </w:rPr>
        <w:t>Guardian</w:t>
      </w:r>
      <w:r w:rsidRPr="00DC0672">
        <w:rPr>
          <w:rFonts w:ascii="Arial" w:eastAsia="Times New Roman" w:hAnsi="Arial" w:cs="Arial"/>
          <w:lang w:eastAsia="en-GB"/>
          <w14:ligatures w14:val="none"/>
        </w:rPr>
        <w:t xml:space="preserve"> </w:t>
      </w:r>
      <w:r w:rsidRPr="00DC0672">
        <w:rPr>
          <w:rFonts w:ascii="Arial" w:eastAsia="Times New Roman" w:hAnsi="Arial" w:cs="Arial"/>
          <w:lang w:eastAsia="en-GB"/>
          <w14:ligatures w14:val="none"/>
        </w:rPr>
        <w:t xml:space="preserve">recently </w:t>
      </w:r>
      <w:r w:rsidRPr="00DC0672">
        <w:rPr>
          <w:rFonts w:ascii="Arial" w:eastAsia="Times New Roman" w:hAnsi="Arial" w:cs="Arial"/>
          <w:lang w:eastAsia="en-GB"/>
          <w14:ligatures w14:val="none"/>
        </w:rPr>
        <w:t xml:space="preserve">published its survey of ‘climate experts’. </w:t>
      </w:r>
      <w:r w:rsidRPr="00924611">
        <w:rPr>
          <w:rFonts w:ascii="Arial" w:eastAsia="Times New Roman" w:hAnsi="Arial" w:cs="Arial"/>
          <w:lang w:eastAsia="en-GB"/>
          <w14:ligatures w14:val="none"/>
        </w:rPr>
        <w:t xml:space="preserve">For the purposes of creating this story, the </w:t>
      </w:r>
      <w:r w:rsidRPr="00924611">
        <w:rPr>
          <w:rFonts w:ascii="Arial" w:eastAsia="Times New Roman" w:hAnsi="Arial" w:cs="Arial"/>
          <w:i/>
          <w:iCs/>
          <w:lang w:eastAsia="en-GB"/>
          <w14:ligatures w14:val="none"/>
        </w:rPr>
        <w:t>Guardian</w:t>
      </w:r>
      <w:r w:rsidRPr="00924611">
        <w:rPr>
          <w:rFonts w:ascii="Arial" w:eastAsia="Times New Roman" w:hAnsi="Arial" w:cs="Arial"/>
          <w:lang w:eastAsia="en-GB"/>
          <w14:ligatures w14:val="none"/>
        </w:rPr>
        <w:t xml:space="preserve">’s Environment Editor Damian Carrington contacted 843 ‘lead authors’ of the Intergovernmental Panel on Climate Change’s reports (IPCC) and 383 responded to his questions. The actual substance of the survey does not seem to have been published by the paper, but the main response Carrington wanted to get from his respondents was an estimate of how much global warming there will be by the end of the century. “World’s top climate scientists expect global heating to blast past 1.5ºC target,” claims one </w:t>
      </w:r>
      <w:hyperlink r:id="rId8" w:tgtFrame="_blank" w:history="1">
        <w:r w:rsidRPr="00924611">
          <w:rPr>
            <w:rFonts w:ascii="Arial" w:eastAsia="Times New Roman" w:hAnsi="Arial" w:cs="Arial"/>
            <w:color w:val="0000FF"/>
            <w:u w:val="single"/>
            <w:lang w:eastAsia="en-GB"/>
            <w14:ligatures w14:val="none"/>
          </w:rPr>
          <w:t>headline</w:t>
        </w:r>
      </w:hyperlink>
      <w:r w:rsidRPr="00924611">
        <w:rPr>
          <w:rFonts w:ascii="Arial" w:eastAsia="Times New Roman" w:hAnsi="Arial" w:cs="Arial"/>
          <w:lang w:eastAsia="en-GB"/>
          <w14:ligatures w14:val="none"/>
        </w:rPr>
        <w:t>. A graphic in the article shows the responses:</w:t>
      </w:r>
    </w:p>
    <w:p w14:paraId="0E9EA04E" w14:textId="77777777" w:rsidR="00134917" w:rsidRPr="00DC0672" w:rsidRDefault="00134917" w:rsidP="006969EA">
      <w:pPr>
        <w:pStyle w:val="Default"/>
        <w:jc w:val="center"/>
        <w:rPr>
          <w:u w:val="single"/>
        </w:rPr>
      </w:pPr>
    </w:p>
    <w:p w14:paraId="412B157A" w14:textId="77777777" w:rsidR="00924611" w:rsidRPr="00924611" w:rsidRDefault="00924611" w:rsidP="00924611">
      <w:pPr>
        <w:spacing w:after="0" w:line="240" w:lineRule="auto"/>
        <w:rPr>
          <w:rFonts w:ascii="Arial" w:eastAsia="Times New Roman" w:hAnsi="Arial" w:cs="Arial"/>
          <w:sz w:val="24"/>
          <w:szCs w:val="24"/>
          <w:lang w:eastAsia="en-GB"/>
          <w14:ligatures w14:val="none"/>
        </w:rPr>
      </w:pPr>
      <w:r w:rsidRPr="00924611">
        <w:rPr>
          <w:rFonts w:ascii="Arial" w:eastAsia="Times New Roman" w:hAnsi="Arial" w:cs="Arial"/>
          <w:noProof/>
          <w:color w:val="0000FF"/>
          <w:sz w:val="24"/>
          <w:szCs w:val="24"/>
          <w:lang w:eastAsia="en-GB"/>
          <w14:ligatures w14:val="none"/>
        </w:rPr>
        <w:drawing>
          <wp:inline distT="0" distB="0" distL="0" distR="0" wp14:anchorId="3807F5F9" wp14:editId="4229AE89">
            <wp:extent cx="6861810" cy="2496185"/>
            <wp:effectExtent l="0" t="0" r="0" b="0"/>
            <wp:docPr id="3" name="Picture 2" descr="A graph of a temperature&#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of a temperature&#10;&#10;Description automatically generated with medium confidenc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1810" cy="2496185"/>
                    </a:xfrm>
                    <a:prstGeom prst="rect">
                      <a:avLst/>
                    </a:prstGeom>
                    <a:noFill/>
                    <a:ln>
                      <a:noFill/>
                    </a:ln>
                  </pic:spPr>
                </pic:pic>
              </a:graphicData>
            </a:graphic>
          </wp:inline>
        </w:drawing>
      </w:r>
    </w:p>
    <w:p w14:paraId="2CE3BE4A" w14:textId="380303DC" w:rsidR="00924611" w:rsidRPr="00DC0672" w:rsidRDefault="00924611" w:rsidP="00924611">
      <w:pPr>
        <w:spacing w:before="100" w:beforeAutospacing="1" w:after="100" w:afterAutospacing="1" w:line="240" w:lineRule="auto"/>
        <w:rPr>
          <w:rFonts w:ascii="Arial" w:eastAsia="Times New Roman" w:hAnsi="Arial" w:cs="Arial"/>
          <w:sz w:val="24"/>
          <w:szCs w:val="24"/>
          <w:lang w:eastAsia="en-GB"/>
          <w14:ligatures w14:val="none"/>
        </w:rPr>
      </w:pPr>
      <w:r w:rsidRPr="00DC0672">
        <w:rPr>
          <w:rFonts w:ascii="Arial" w:eastAsia="Times New Roman" w:hAnsi="Arial" w:cs="Arial"/>
          <w:sz w:val="24"/>
          <w:szCs w:val="24"/>
          <w:lang w:eastAsia="en-GB"/>
          <w14:ligatures w14:val="none"/>
        </w:rPr>
        <w:t>Ben Pile pointed out that t</w:t>
      </w:r>
      <w:r w:rsidRPr="00924611">
        <w:rPr>
          <w:rFonts w:ascii="Arial" w:eastAsia="Times New Roman" w:hAnsi="Arial" w:cs="Arial"/>
          <w:sz w:val="24"/>
          <w:szCs w:val="24"/>
          <w:lang w:eastAsia="en-GB"/>
          <w14:ligatures w14:val="none"/>
        </w:rPr>
        <w:t xml:space="preserve">he obvious problem this raises is that such a wide range of views on the next three quarters of a century discredits the notion that the IPCC represents a ‘scientific consensus’ on climate change. The ‘consensus’ – the putative expression of agreement by the worlds ‘top climate scientists’ – is the lynchpin of the narrative, epitomised by the </w:t>
      </w:r>
      <w:r w:rsidRPr="00924611">
        <w:rPr>
          <w:rFonts w:ascii="Arial" w:eastAsia="Times New Roman" w:hAnsi="Arial" w:cs="Arial"/>
          <w:i/>
          <w:iCs/>
          <w:sz w:val="24"/>
          <w:szCs w:val="24"/>
          <w:lang w:eastAsia="en-GB"/>
          <w14:ligatures w14:val="none"/>
        </w:rPr>
        <w:t>Guardian</w:t>
      </w:r>
      <w:r w:rsidRPr="00924611">
        <w:rPr>
          <w:rFonts w:ascii="Arial" w:eastAsia="Times New Roman" w:hAnsi="Arial" w:cs="Arial"/>
          <w:sz w:val="24"/>
          <w:szCs w:val="24"/>
          <w:lang w:eastAsia="en-GB"/>
          <w14:ligatures w14:val="none"/>
        </w:rPr>
        <w:t>, that the climate debate is between scientists and denialists. “</w:t>
      </w:r>
      <w:proofErr w:type="gramStart"/>
      <w:r w:rsidRPr="00924611">
        <w:rPr>
          <w:rFonts w:ascii="Arial" w:eastAsia="Times New Roman" w:hAnsi="Arial" w:cs="Arial"/>
          <w:sz w:val="24"/>
          <w:szCs w:val="24"/>
          <w:lang w:eastAsia="en-GB"/>
          <w14:ligatures w14:val="none"/>
        </w:rPr>
        <w:t>Seventy seven</w:t>
      </w:r>
      <w:proofErr w:type="gramEnd"/>
      <w:r w:rsidRPr="00924611">
        <w:rPr>
          <w:rFonts w:ascii="Arial" w:eastAsia="Times New Roman" w:hAnsi="Arial" w:cs="Arial"/>
          <w:sz w:val="24"/>
          <w:szCs w:val="24"/>
          <w:lang w:eastAsia="en-GB"/>
          <w14:ligatures w14:val="none"/>
        </w:rPr>
        <w:t xml:space="preserve"> per cent of climate scientists expect a rise of at least 2.5</w:t>
      </w:r>
      <w:bookmarkStart w:id="1" w:name="_Hlk167246135"/>
      <w:r w:rsidRPr="00924611">
        <w:rPr>
          <w:rFonts w:ascii="Arial" w:eastAsia="Times New Roman" w:hAnsi="Arial" w:cs="Arial"/>
          <w:sz w:val="24"/>
          <w:szCs w:val="24"/>
          <w:lang w:eastAsia="en-GB"/>
          <w14:ligatures w14:val="none"/>
        </w:rPr>
        <w:t>ºC</w:t>
      </w:r>
      <w:bookmarkEnd w:id="1"/>
      <w:r w:rsidRPr="00924611">
        <w:rPr>
          <w:rFonts w:ascii="Arial" w:eastAsia="Times New Roman" w:hAnsi="Arial" w:cs="Arial"/>
          <w:sz w:val="24"/>
          <w:szCs w:val="24"/>
          <w:lang w:eastAsia="en-GB"/>
          <w14:ligatures w14:val="none"/>
        </w:rPr>
        <w:t>,” explains the chart. Well, yeah, but 23% of climate scientists do not. And a good number of those connected to the IPCC believe that there will be just 1.5 degrees of warming – a third less warming than is anticipated by their colleagues at the other end of the spectrum. Clearly, there is, or needs to be, a debate.</w:t>
      </w:r>
    </w:p>
    <w:p w14:paraId="2259B9C4" w14:textId="77777777" w:rsidR="008E4414" w:rsidRPr="00DC0672" w:rsidRDefault="00924611" w:rsidP="00924611">
      <w:pPr>
        <w:spacing w:before="100" w:beforeAutospacing="1" w:after="100" w:afterAutospacing="1" w:line="240" w:lineRule="auto"/>
        <w:rPr>
          <w:rFonts w:ascii="Arial" w:eastAsia="Times New Roman" w:hAnsi="Arial" w:cs="Arial"/>
          <w:sz w:val="24"/>
          <w:szCs w:val="24"/>
          <w:lang w:eastAsia="en-GB"/>
          <w14:ligatures w14:val="none"/>
        </w:rPr>
      </w:pPr>
      <w:r w:rsidRPr="00DC0672">
        <w:rPr>
          <w:rFonts w:ascii="Arial" w:eastAsia="Times New Roman" w:hAnsi="Arial" w:cs="Arial"/>
          <w:sz w:val="24"/>
          <w:szCs w:val="24"/>
          <w:lang w:eastAsia="en-GB"/>
          <w14:ligatures w14:val="none"/>
        </w:rPr>
        <w:t xml:space="preserve">Clearly, the wide range of results shows how utterly stupid the so-called IPCC “experts </w:t>
      </w:r>
      <w:proofErr w:type="gramStart"/>
      <w:r w:rsidRPr="00DC0672">
        <w:rPr>
          <w:rFonts w:ascii="Arial" w:eastAsia="Times New Roman" w:hAnsi="Arial" w:cs="Arial"/>
          <w:sz w:val="24"/>
          <w:szCs w:val="24"/>
          <w:lang w:eastAsia="en-GB"/>
          <w14:ligatures w14:val="none"/>
        </w:rPr>
        <w:t>are</w:t>
      </w:r>
      <w:proofErr w:type="gramEnd"/>
      <w:r w:rsidRPr="00DC0672">
        <w:rPr>
          <w:rFonts w:ascii="Arial" w:eastAsia="Times New Roman" w:hAnsi="Arial" w:cs="Arial"/>
          <w:sz w:val="24"/>
          <w:szCs w:val="24"/>
          <w:lang w:eastAsia="en-GB"/>
          <w14:ligatures w14:val="none"/>
        </w:rPr>
        <w:t xml:space="preserve"> and the organisation is itself a complete joke as it cannot even get its so-called experts to agree on a point which is fundamental to its whole existence.</w:t>
      </w:r>
    </w:p>
    <w:p w14:paraId="19346375" w14:textId="4A8E40D6" w:rsidR="008E4414" w:rsidRPr="00DC0672" w:rsidRDefault="00924611" w:rsidP="00924611">
      <w:pPr>
        <w:spacing w:before="100" w:beforeAutospacing="1" w:after="100" w:afterAutospacing="1" w:line="240" w:lineRule="auto"/>
        <w:rPr>
          <w:rFonts w:ascii="Arial" w:eastAsia="Times New Roman" w:hAnsi="Arial" w:cs="Arial"/>
          <w:b/>
          <w:bCs/>
          <w:sz w:val="24"/>
          <w:szCs w:val="24"/>
          <w:lang w:eastAsia="en-GB"/>
          <w14:ligatures w14:val="none"/>
        </w:rPr>
      </w:pPr>
      <w:r w:rsidRPr="00DC0672">
        <w:rPr>
          <w:rFonts w:ascii="Arial" w:eastAsia="Times New Roman" w:hAnsi="Arial" w:cs="Arial"/>
          <w:b/>
          <w:bCs/>
          <w:sz w:val="24"/>
          <w:szCs w:val="24"/>
          <w:lang w:eastAsia="en-GB"/>
          <w14:ligatures w14:val="none"/>
        </w:rPr>
        <w:t xml:space="preserve">However, help is at hand, because I can </w:t>
      </w:r>
      <w:r w:rsidR="008E4414" w:rsidRPr="00DC0672">
        <w:rPr>
          <w:rFonts w:ascii="Arial" w:eastAsia="Times New Roman" w:hAnsi="Arial" w:cs="Arial"/>
          <w:b/>
          <w:bCs/>
          <w:sz w:val="24"/>
          <w:szCs w:val="24"/>
          <w:lang w:eastAsia="en-GB"/>
          <w14:ligatures w14:val="none"/>
        </w:rPr>
        <w:t xml:space="preserve">state the exact </w:t>
      </w:r>
      <w:r w:rsidR="003876CB" w:rsidRPr="00DC0672">
        <w:rPr>
          <w:rFonts w:ascii="Arial" w:eastAsia="Times New Roman" w:hAnsi="Arial" w:cs="Arial"/>
          <w:b/>
          <w:bCs/>
          <w:sz w:val="24"/>
          <w:szCs w:val="24"/>
          <w:lang w:eastAsia="en-GB"/>
          <w14:ligatures w14:val="none"/>
        </w:rPr>
        <w:t xml:space="preserve">number </w:t>
      </w:r>
      <w:r w:rsidR="008E4414" w:rsidRPr="00DC0672">
        <w:rPr>
          <w:rFonts w:ascii="Arial" w:eastAsia="Times New Roman" w:hAnsi="Arial" w:cs="Arial"/>
          <w:b/>
          <w:bCs/>
          <w:sz w:val="24"/>
          <w:szCs w:val="24"/>
          <w:lang w:eastAsia="en-GB"/>
          <w14:ligatures w14:val="none"/>
        </w:rPr>
        <w:t xml:space="preserve">that the IPCC’s own results show should be the </w:t>
      </w:r>
      <w:r w:rsidR="003876CB" w:rsidRPr="00DC0672">
        <w:rPr>
          <w:rFonts w:ascii="Arial" w:eastAsia="Times New Roman" w:hAnsi="Arial" w:cs="Arial"/>
          <w:b/>
          <w:bCs/>
          <w:sz w:val="24"/>
          <w:szCs w:val="24"/>
          <w:lang w:eastAsia="en-GB"/>
          <w14:ligatures w14:val="none"/>
        </w:rPr>
        <w:t>answer</w:t>
      </w:r>
      <w:r w:rsidR="008E4414" w:rsidRPr="00DC0672">
        <w:rPr>
          <w:rFonts w:ascii="Arial" w:eastAsia="Times New Roman" w:hAnsi="Arial" w:cs="Arial"/>
          <w:b/>
          <w:bCs/>
          <w:sz w:val="24"/>
          <w:szCs w:val="24"/>
          <w:lang w:eastAsia="en-GB"/>
          <w14:ligatures w14:val="none"/>
        </w:rPr>
        <w:t>!</w:t>
      </w:r>
    </w:p>
    <w:p w14:paraId="0EF5755D" w14:textId="3DF1B903"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r w:rsidRPr="00DC0672">
        <w:rPr>
          <w:rFonts w:ascii="Arial" w:eastAsia="Times New Roman" w:hAnsi="Arial" w:cs="Arial"/>
          <w:sz w:val="24"/>
          <w:szCs w:val="24"/>
          <w:lang w:eastAsia="en-GB"/>
          <w14:ligatures w14:val="none"/>
        </w:rPr>
        <w:t>The question was: “How much global warming will there be by the end of the century”?</w:t>
      </w:r>
    </w:p>
    <w:p w14:paraId="77464245" w14:textId="400AE059" w:rsidR="0099057A" w:rsidRPr="00DC0672" w:rsidRDefault="0099057A" w:rsidP="00924611">
      <w:pPr>
        <w:spacing w:before="100" w:beforeAutospacing="1" w:after="100" w:afterAutospacing="1" w:line="240" w:lineRule="auto"/>
        <w:rPr>
          <w:rFonts w:ascii="Arial" w:eastAsia="Times New Roman" w:hAnsi="Arial" w:cs="Arial"/>
          <w:sz w:val="24"/>
          <w:szCs w:val="24"/>
          <w:lang w:eastAsia="en-GB"/>
          <w14:ligatures w14:val="none"/>
        </w:rPr>
      </w:pPr>
      <w:r w:rsidRPr="00DC0672">
        <w:rPr>
          <w:rFonts w:ascii="Arial" w:eastAsia="Times New Roman" w:hAnsi="Arial" w:cs="Arial"/>
          <w:sz w:val="24"/>
          <w:szCs w:val="24"/>
          <w:lang w:eastAsia="en-GB"/>
          <w14:ligatures w14:val="none"/>
        </w:rPr>
        <w:t xml:space="preserve">Firstly, for more information on the numbers </w:t>
      </w:r>
      <w:r w:rsidR="00FF2DF0" w:rsidRPr="00DC0672">
        <w:rPr>
          <w:rFonts w:ascii="Arial" w:eastAsia="Times New Roman" w:hAnsi="Arial" w:cs="Arial"/>
          <w:sz w:val="24"/>
          <w:szCs w:val="24"/>
          <w:lang w:eastAsia="en-GB"/>
          <w14:ligatures w14:val="none"/>
        </w:rPr>
        <w:t xml:space="preserve">and figures </w:t>
      </w:r>
      <w:r w:rsidRPr="00DC0672">
        <w:rPr>
          <w:rFonts w:ascii="Arial" w:eastAsia="Times New Roman" w:hAnsi="Arial" w:cs="Arial"/>
          <w:sz w:val="24"/>
          <w:szCs w:val="24"/>
          <w:lang w:eastAsia="en-GB"/>
          <w14:ligatures w14:val="none"/>
        </w:rPr>
        <w:t>involved it is necessary to refer to my note</w:t>
      </w:r>
      <w:r w:rsidR="00FF2DF0" w:rsidRPr="00DC0672">
        <w:rPr>
          <w:rFonts w:ascii="Arial" w:eastAsia="Times New Roman" w:hAnsi="Arial" w:cs="Arial"/>
          <w:sz w:val="24"/>
          <w:szCs w:val="24"/>
          <w:lang w:eastAsia="en-GB"/>
          <w14:ligatures w14:val="none"/>
        </w:rPr>
        <w:t xml:space="preserve"> referenced below:</w:t>
      </w:r>
    </w:p>
    <w:p w14:paraId="398E1C0A" w14:textId="77777777" w:rsidR="00FF2DF0" w:rsidRPr="00DC0672" w:rsidRDefault="00FF2DF0" w:rsidP="00924611">
      <w:pPr>
        <w:spacing w:before="100" w:beforeAutospacing="1" w:after="100" w:afterAutospacing="1" w:line="240" w:lineRule="auto"/>
        <w:rPr>
          <w:rFonts w:ascii="Arial" w:eastAsia="Times New Roman" w:hAnsi="Arial" w:cs="Arial"/>
          <w:sz w:val="24"/>
          <w:szCs w:val="24"/>
          <w:lang w:eastAsia="en-GB"/>
          <w14:ligatures w14:val="none"/>
        </w:rPr>
      </w:pPr>
    </w:p>
    <w:p w14:paraId="0E279784" w14:textId="3E8BB1EF" w:rsidR="00FF2DF0" w:rsidRPr="00DC0672" w:rsidRDefault="00FF2DF0" w:rsidP="00924611">
      <w:pPr>
        <w:spacing w:before="100" w:beforeAutospacing="1" w:after="100" w:afterAutospacing="1" w:line="240" w:lineRule="auto"/>
        <w:rPr>
          <w:rFonts w:ascii="Arial" w:eastAsia="Times New Roman" w:hAnsi="Arial" w:cs="Arial"/>
          <w:sz w:val="24"/>
          <w:szCs w:val="24"/>
          <w:lang w:eastAsia="en-GB"/>
          <w14:ligatures w14:val="none"/>
        </w:rPr>
      </w:pPr>
      <w:r w:rsidRPr="00DC0672">
        <w:rPr>
          <w:rFonts w:ascii="Arial" w:eastAsia="Times New Roman" w:hAnsi="Arial" w:cs="Arial"/>
          <w:sz w:val="24"/>
          <w:szCs w:val="24"/>
          <w:lang w:eastAsia="en-GB"/>
          <w14:ligatures w14:val="none"/>
        </w:rPr>
        <w:t>https://mail.google.com/mail/u/0?ui=2&amp;ik=f96df54420&amp;attid=0.1&amp;permmsgid=msg-a:r-8725386989335802803&amp;th=18f4c85a7c53cd66&amp;view=att&amp;disp=safe&amp;realattid=f_lvbqnqvh0</w:t>
      </w:r>
    </w:p>
    <w:p w14:paraId="4A198B76" w14:textId="0E72CE3F" w:rsidR="008E4414" w:rsidRPr="00DC0672" w:rsidRDefault="00FF2DF0" w:rsidP="00924611">
      <w:pPr>
        <w:spacing w:before="100" w:beforeAutospacing="1" w:after="100" w:afterAutospacing="1" w:line="240" w:lineRule="auto"/>
        <w:rPr>
          <w:rFonts w:ascii="Arial" w:eastAsia="Times New Roman" w:hAnsi="Arial" w:cs="Arial"/>
          <w:sz w:val="24"/>
          <w:szCs w:val="24"/>
          <w:lang w:eastAsia="en-GB"/>
          <w14:ligatures w14:val="none"/>
        </w:rPr>
      </w:pPr>
      <w:r w:rsidRPr="00DC0672">
        <w:rPr>
          <w:rFonts w:ascii="Arial" w:eastAsia="Times New Roman" w:hAnsi="Arial" w:cs="Arial"/>
          <w:sz w:val="24"/>
          <w:szCs w:val="24"/>
          <w:lang w:eastAsia="en-GB"/>
          <w14:ligatures w14:val="none"/>
        </w:rPr>
        <w:t>Now</w:t>
      </w:r>
      <w:r w:rsidR="008E4414" w:rsidRPr="00DC0672">
        <w:rPr>
          <w:rFonts w:ascii="Arial" w:eastAsia="Times New Roman" w:hAnsi="Arial" w:cs="Arial"/>
          <w:sz w:val="24"/>
          <w:szCs w:val="24"/>
          <w:lang w:eastAsia="en-GB"/>
          <w14:ligatures w14:val="none"/>
        </w:rPr>
        <w:t xml:space="preserve"> we </w:t>
      </w:r>
      <w:proofErr w:type="gramStart"/>
      <w:r w:rsidR="008E4414" w:rsidRPr="00DC0672">
        <w:rPr>
          <w:rFonts w:ascii="Arial" w:eastAsia="Times New Roman" w:hAnsi="Arial" w:cs="Arial"/>
          <w:sz w:val="24"/>
          <w:szCs w:val="24"/>
          <w:lang w:eastAsia="en-GB"/>
          <w14:ligatures w14:val="none"/>
        </w:rPr>
        <w:t>have to</w:t>
      </w:r>
      <w:proofErr w:type="gramEnd"/>
      <w:r w:rsidR="008E4414" w:rsidRPr="00DC0672">
        <w:rPr>
          <w:rFonts w:ascii="Arial" w:eastAsia="Times New Roman" w:hAnsi="Arial" w:cs="Arial"/>
          <w:sz w:val="24"/>
          <w:szCs w:val="24"/>
          <w:lang w:eastAsia="en-GB"/>
          <w14:ligatures w14:val="none"/>
        </w:rPr>
        <w:t xml:space="preserve"> estimate the </w:t>
      </w:r>
      <w:r w:rsidR="008E4414" w:rsidRPr="00DC0672">
        <w:rPr>
          <w:rFonts w:ascii="Arial" w:eastAsia="Times New Roman" w:hAnsi="Arial" w:cs="Arial"/>
          <w:i/>
          <w:iCs/>
          <w:sz w:val="24"/>
          <w:szCs w:val="24"/>
          <w:lang w:eastAsia="en-GB"/>
          <w14:ligatures w14:val="none"/>
        </w:rPr>
        <w:t>possible</w:t>
      </w:r>
      <w:r w:rsidR="008E4414" w:rsidRPr="00DC0672">
        <w:rPr>
          <w:rFonts w:ascii="Arial" w:eastAsia="Times New Roman" w:hAnsi="Arial" w:cs="Arial"/>
          <w:sz w:val="24"/>
          <w:szCs w:val="24"/>
          <w:lang w:eastAsia="en-GB"/>
          <w14:ligatures w14:val="none"/>
        </w:rPr>
        <w:t xml:space="preserve"> rise of </w:t>
      </w:r>
      <w:r w:rsidR="00722A5C" w:rsidRPr="00DC0672">
        <w:rPr>
          <w:rFonts w:ascii="Arial" w:hAnsi="Arial" w:cs="Arial"/>
          <w:sz w:val="24"/>
          <w:szCs w:val="24"/>
        </w:rPr>
        <w:t>CO</w:t>
      </w:r>
      <w:r w:rsidR="00722A5C" w:rsidRPr="00DC0672">
        <w:rPr>
          <w:rFonts w:ascii="Arial" w:hAnsi="Arial" w:cs="Arial"/>
          <w:sz w:val="24"/>
          <w:szCs w:val="24"/>
          <w:vertAlign w:val="subscript"/>
        </w:rPr>
        <w:t>2</w:t>
      </w:r>
      <w:r w:rsidR="008E4414" w:rsidRPr="00DC0672">
        <w:rPr>
          <w:rFonts w:ascii="Arial" w:eastAsia="Times New Roman" w:hAnsi="Arial" w:cs="Arial"/>
          <w:sz w:val="24"/>
          <w:szCs w:val="24"/>
          <w:lang w:eastAsia="en-GB"/>
          <w14:ligatures w14:val="none"/>
        </w:rPr>
        <w:t xml:space="preserve"> from the present day to that at the end of the century, 2100 or in 76 </w:t>
      </w:r>
      <w:proofErr w:type="spellStart"/>
      <w:r w:rsidR="008E4414" w:rsidRPr="00DC0672">
        <w:rPr>
          <w:rFonts w:ascii="Arial" w:eastAsia="Times New Roman" w:hAnsi="Arial" w:cs="Arial"/>
          <w:sz w:val="24"/>
          <w:szCs w:val="24"/>
          <w:lang w:eastAsia="en-GB"/>
          <w14:ligatures w14:val="none"/>
        </w:rPr>
        <w:t>years time</w:t>
      </w:r>
      <w:proofErr w:type="spellEnd"/>
      <w:r w:rsidR="008E4414" w:rsidRPr="00DC0672">
        <w:rPr>
          <w:rFonts w:ascii="Arial" w:eastAsia="Times New Roman" w:hAnsi="Arial" w:cs="Arial"/>
          <w:sz w:val="24"/>
          <w:szCs w:val="24"/>
          <w:lang w:eastAsia="en-GB"/>
          <w14:ligatures w14:val="none"/>
        </w:rPr>
        <w:t xml:space="preserve">.   </w:t>
      </w:r>
    </w:p>
    <w:p w14:paraId="21A68890" w14:textId="36486295" w:rsidR="003876CB" w:rsidRPr="00DC0672" w:rsidRDefault="003876CB" w:rsidP="003876CB">
      <w:pPr>
        <w:pStyle w:val="Default"/>
      </w:pPr>
      <w:r w:rsidRPr="00DC0672">
        <w:t xml:space="preserve">The total global rise in </w:t>
      </w:r>
      <w:bookmarkStart w:id="2" w:name="_Hlk167245733"/>
      <w:r w:rsidRPr="00DC0672">
        <w:t>CO</w:t>
      </w:r>
      <w:r w:rsidRPr="00DC0672">
        <w:rPr>
          <w:vertAlign w:val="subscript"/>
        </w:rPr>
        <w:t xml:space="preserve">2 </w:t>
      </w:r>
      <w:bookmarkEnd w:id="2"/>
      <w:r w:rsidRPr="00DC0672">
        <w:t xml:space="preserve">from 1980, (335 ppm) to 2024 (420 ppm) was 85 ppm or nearly 2 ppm/annum over the last 44 years. Hence, </w:t>
      </w:r>
      <w:r w:rsidRPr="00DC0672">
        <w:t xml:space="preserve">at that rate the global total of </w:t>
      </w:r>
      <w:r w:rsidR="00722A5C" w:rsidRPr="00DC0672">
        <w:t>CO</w:t>
      </w:r>
      <w:r w:rsidR="00722A5C" w:rsidRPr="00DC0672">
        <w:rPr>
          <w:vertAlign w:val="subscript"/>
        </w:rPr>
        <w:t>2</w:t>
      </w:r>
      <w:r w:rsidRPr="00DC0672">
        <w:t xml:space="preserve"> will rise about </w:t>
      </w:r>
    </w:p>
    <w:p w14:paraId="4B01FD4A" w14:textId="5B803627" w:rsidR="00FF2DF0" w:rsidRPr="00DC0672" w:rsidRDefault="003876CB" w:rsidP="003876CB">
      <w:pPr>
        <w:pStyle w:val="Default"/>
      </w:pPr>
      <w:r w:rsidRPr="00DC0672">
        <w:t xml:space="preserve">152 ppm. So, the global total </w:t>
      </w:r>
      <w:r w:rsidR="00722A5C" w:rsidRPr="00DC0672">
        <w:t>CO</w:t>
      </w:r>
      <w:r w:rsidR="00722A5C" w:rsidRPr="00DC0672">
        <w:rPr>
          <w:vertAlign w:val="subscript"/>
        </w:rPr>
        <w:t>2</w:t>
      </w:r>
      <w:r w:rsidRPr="00DC0672">
        <w:t xml:space="preserve"> level will be about 420 + 152 ppm = 572 ppm. </w:t>
      </w:r>
    </w:p>
    <w:p w14:paraId="222C24DA" w14:textId="77777777" w:rsidR="00FF2DF0" w:rsidRPr="00DC0672" w:rsidRDefault="00FF2DF0" w:rsidP="003876CB">
      <w:pPr>
        <w:pStyle w:val="Default"/>
      </w:pPr>
    </w:p>
    <w:p w14:paraId="1B524EEC" w14:textId="265EE962" w:rsidR="003876CB" w:rsidRPr="00DC0672" w:rsidRDefault="003876CB" w:rsidP="003876CB">
      <w:pPr>
        <w:pStyle w:val="Default"/>
      </w:pPr>
      <w:r w:rsidRPr="00DC0672">
        <w:rPr>
          <w:u w:val="single"/>
        </w:rPr>
        <w:t xml:space="preserve">For </w:t>
      </w:r>
      <w:proofErr w:type="gramStart"/>
      <w:r w:rsidRPr="00DC0672">
        <w:rPr>
          <w:u w:val="single"/>
        </w:rPr>
        <w:t>convenience</w:t>
      </w:r>
      <w:proofErr w:type="gramEnd"/>
      <w:r w:rsidRPr="00DC0672">
        <w:rPr>
          <w:u w:val="single"/>
        </w:rPr>
        <w:t xml:space="preserve"> sake let us round this figure up to 600 ppm</w:t>
      </w:r>
      <w:r w:rsidRPr="00DC0672">
        <w:t xml:space="preserve">. </w:t>
      </w:r>
    </w:p>
    <w:p w14:paraId="799CBBBB" w14:textId="77777777" w:rsidR="003876CB" w:rsidRPr="00DC0672" w:rsidRDefault="003876CB" w:rsidP="003876CB">
      <w:pPr>
        <w:pStyle w:val="Default"/>
      </w:pPr>
    </w:p>
    <w:p w14:paraId="061A6657" w14:textId="6B69B86A" w:rsidR="00FF2DF0" w:rsidRPr="00DC0672" w:rsidRDefault="00B06841" w:rsidP="003876CB">
      <w:pPr>
        <w:pStyle w:val="Default"/>
      </w:pPr>
      <w:r w:rsidRPr="00DC0672">
        <w:t>F</w:t>
      </w:r>
      <w:r w:rsidR="003876CB" w:rsidRPr="00DC0672">
        <w:t xml:space="preserve">rom figure </w:t>
      </w:r>
      <w:r w:rsidR="00FF2DF0" w:rsidRPr="00DC0672">
        <w:t>2 of my note above the</w:t>
      </w:r>
      <w:r w:rsidR="00632244" w:rsidRPr="00DC0672">
        <w:t xml:space="preserve"> </w:t>
      </w:r>
      <w:r w:rsidR="00632244" w:rsidRPr="00DC0672">
        <w:t>ΔT</w:t>
      </w:r>
      <w:r w:rsidR="00632244" w:rsidRPr="00DC0672">
        <w:t xml:space="preserve"> (increase in temperature) </w:t>
      </w:r>
      <w:r w:rsidR="003876CB" w:rsidRPr="00DC0672">
        <w:t xml:space="preserve">against </w:t>
      </w:r>
      <w:r w:rsidR="00722A5C" w:rsidRPr="00DC0672">
        <w:t>CO</w:t>
      </w:r>
      <w:r w:rsidR="00722A5C" w:rsidRPr="00DC0672">
        <w:rPr>
          <w:vertAlign w:val="subscript"/>
        </w:rPr>
        <w:t xml:space="preserve">2 </w:t>
      </w:r>
      <w:r w:rsidR="003876CB" w:rsidRPr="00DC0672">
        <w:t xml:space="preserve">ppm for 420 ppm is </w:t>
      </w:r>
      <w:r w:rsidR="005C1AF2" w:rsidRPr="00DC0672">
        <w:t>3.5</w:t>
      </w:r>
      <w:r w:rsidR="00DC0672" w:rsidRPr="00DC0672">
        <w:rPr>
          <w:rFonts w:eastAsia="Times New Roman"/>
          <w:lang w:eastAsia="en-GB"/>
          <w14:ligatures w14:val="none"/>
        </w:rPr>
        <w:t xml:space="preserve"> </w:t>
      </w:r>
      <w:r w:rsidR="00DC0672" w:rsidRPr="00924611">
        <w:rPr>
          <w:rFonts w:eastAsia="Times New Roman"/>
          <w:lang w:eastAsia="en-GB"/>
          <w14:ligatures w14:val="none"/>
        </w:rPr>
        <w:t>ºC</w:t>
      </w:r>
      <w:r w:rsidR="00DC0672" w:rsidRPr="00DC0672">
        <w:t xml:space="preserve"> </w:t>
      </w:r>
      <w:r w:rsidR="005C1AF2" w:rsidRPr="00DC0672">
        <w:t xml:space="preserve">and that for 600 ppm is 4.05 </w:t>
      </w:r>
      <w:r w:rsidR="00DC0672" w:rsidRPr="00924611">
        <w:rPr>
          <w:rFonts w:eastAsia="Times New Roman"/>
          <w:lang w:eastAsia="en-GB"/>
          <w14:ligatures w14:val="none"/>
        </w:rPr>
        <w:t>ºC</w:t>
      </w:r>
      <w:r w:rsidR="005C1AF2" w:rsidRPr="00DC0672">
        <w:t>.</w:t>
      </w:r>
    </w:p>
    <w:p w14:paraId="25C50A38" w14:textId="77777777" w:rsidR="00FF2DF0" w:rsidRPr="00DC0672" w:rsidRDefault="00FF2DF0" w:rsidP="003876CB">
      <w:pPr>
        <w:pStyle w:val="Default"/>
      </w:pPr>
    </w:p>
    <w:p w14:paraId="46D89303" w14:textId="03168B1F" w:rsidR="003876CB" w:rsidRPr="00DC0672" w:rsidRDefault="005C1AF2" w:rsidP="003876CB">
      <w:pPr>
        <w:pStyle w:val="Default"/>
      </w:pPr>
      <w:r w:rsidRPr="00DC0672">
        <w:t xml:space="preserve">Hence the </w:t>
      </w:r>
      <w:r w:rsidR="00FF2DF0" w:rsidRPr="00DC0672">
        <w:t xml:space="preserve">global </w:t>
      </w:r>
      <w:r w:rsidRPr="00DC0672">
        <w:t>temp increase by the end of the century implies a total temp increase of 4.05 – 3.5</w:t>
      </w:r>
      <w:r w:rsidR="00DC0672" w:rsidRPr="00DC0672">
        <w:rPr>
          <w:rFonts w:eastAsia="Times New Roman"/>
          <w:lang w:eastAsia="en-GB"/>
          <w14:ligatures w14:val="none"/>
        </w:rPr>
        <w:t xml:space="preserve"> </w:t>
      </w:r>
      <w:r w:rsidR="00DC0672" w:rsidRPr="00924611">
        <w:rPr>
          <w:rFonts w:eastAsia="Times New Roman"/>
          <w:lang w:eastAsia="en-GB"/>
          <w14:ligatures w14:val="none"/>
        </w:rPr>
        <w:t>ºC</w:t>
      </w:r>
      <w:r w:rsidR="00DC0672" w:rsidRPr="00DC0672">
        <w:t xml:space="preserve"> </w:t>
      </w:r>
      <w:r w:rsidRPr="00DC0672">
        <w:t>or just 0.55</w:t>
      </w:r>
      <w:r w:rsidR="00EB392C" w:rsidRPr="00EB392C">
        <w:rPr>
          <w:rFonts w:eastAsia="Times New Roman"/>
          <w:lang w:eastAsia="en-GB"/>
          <w14:ligatures w14:val="none"/>
        </w:rPr>
        <w:t xml:space="preserve"> </w:t>
      </w:r>
      <w:r w:rsidR="00EB392C" w:rsidRPr="00924611">
        <w:rPr>
          <w:rFonts w:eastAsia="Times New Roman"/>
          <w:lang w:eastAsia="en-GB"/>
          <w14:ligatures w14:val="none"/>
        </w:rPr>
        <w:t>ºC</w:t>
      </w:r>
      <w:r w:rsidRPr="00DC0672">
        <w:t xml:space="preserve">. </w:t>
      </w:r>
    </w:p>
    <w:p w14:paraId="4EB22023" w14:textId="77777777" w:rsidR="005C1AF2" w:rsidRPr="00DC0672" w:rsidRDefault="005C1AF2" w:rsidP="003876CB">
      <w:pPr>
        <w:pStyle w:val="Default"/>
      </w:pPr>
    </w:p>
    <w:p w14:paraId="01F104B6" w14:textId="32D18700" w:rsidR="00FF2DF0" w:rsidRPr="00DC0672" w:rsidRDefault="00FF2DF0" w:rsidP="003876CB">
      <w:pPr>
        <w:pStyle w:val="Default"/>
      </w:pPr>
      <w:r w:rsidRPr="00DC0672">
        <w:t xml:space="preserve">This is the effect of global </w:t>
      </w:r>
      <w:r w:rsidR="00722A5C" w:rsidRPr="00DC0672">
        <w:t>CO</w:t>
      </w:r>
      <w:r w:rsidR="00722A5C" w:rsidRPr="00DC0672">
        <w:rPr>
          <w:vertAlign w:val="subscript"/>
        </w:rPr>
        <w:t xml:space="preserve">2 </w:t>
      </w:r>
      <w:r w:rsidRPr="00DC0672">
        <w:t>increase. That due to humans is 3% of the total. So</w:t>
      </w:r>
      <w:r w:rsidR="00722A5C" w:rsidRPr="00DC0672">
        <w:t>,</w:t>
      </w:r>
      <w:r w:rsidRPr="00DC0672">
        <w:t xml:space="preserve"> the human contribution to the total global temperature rise is </w:t>
      </w:r>
      <w:r w:rsidR="00632244" w:rsidRPr="00DC0672">
        <w:t xml:space="preserve">about </w:t>
      </w:r>
      <w:r w:rsidRPr="00DC0672">
        <w:t>0.01</w:t>
      </w:r>
      <w:r w:rsidR="00632244" w:rsidRPr="00DC0672">
        <w:t xml:space="preserve">7 </w:t>
      </w:r>
      <w:r w:rsidR="00EB392C" w:rsidRPr="00924611">
        <w:rPr>
          <w:rFonts w:eastAsia="Times New Roman"/>
          <w:lang w:eastAsia="en-GB"/>
          <w14:ligatures w14:val="none"/>
        </w:rPr>
        <w:t>ºC</w:t>
      </w:r>
      <w:r w:rsidRPr="00DC0672">
        <w:t>.</w:t>
      </w:r>
    </w:p>
    <w:p w14:paraId="5A000FB1" w14:textId="77777777" w:rsidR="00FF2DF0" w:rsidRPr="00DC0672" w:rsidRDefault="00FF2DF0" w:rsidP="003876CB">
      <w:pPr>
        <w:pStyle w:val="Default"/>
      </w:pPr>
    </w:p>
    <w:p w14:paraId="24312113" w14:textId="54060658" w:rsidR="00632244" w:rsidRPr="00DC0672" w:rsidRDefault="00FC5D79" w:rsidP="003876CB">
      <w:pPr>
        <w:pStyle w:val="Default"/>
      </w:pPr>
      <w:r w:rsidRPr="00DC0672">
        <w:t xml:space="preserve">So, the ACTUAL </w:t>
      </w:r>
      <w:r w:rsidR="00632244" w:rsidRPr="00DC0672">
        <w:t>ΔT</w:t>
      </w:r>
      <w:r w:rsidRPr="00DC0672">
        <w:t xml:space="preserve"> due to human activity is 0.01</w:t>
      </w:r>
      <w:r w:rsidR="00632244" w:rsidRPr="00DC0672">
        <w:t>7</w:t>
      </w:r>
      <w:r w:rsidRPr="00DC0672">
        <w:t xml:space="preserve"> </w:t>
      </w:r>
      <w:r w:rsidR="00EB392C" w:rsidRPr="00924611">
        <w:rPr>
          <w:rFonts w:eastAsia="Times New Roman"/>
          <w:lang w:eastAsia="en-GB"/>
          <w14:ligatures w14:val="none"/>
        </w:rPr>
        <w:t>ºC</w:t>
      </w:r>
      <w:r w:rsidRPr="00DC0672">
        <w:t xml:space="preserve"> or</w:t>
      </w:r>
      <w:r w:rsidR="00632244" w:rsidRPr="00DC0672">
        <w:t>:</w:t>
      </w:r>
    </w:p>
    <w:p w14:paraId="4A69DCED" w14:textId="77777777" w:rsidR="00632244" w:rsidRPr="00DC0672" w:rsidRDefault="00632244" w:rsidP="003876CB">
      <w:pPr>
        <w:pStyle w:val="Default"/>
      </w:pPr>
    </w:p>
    <w:p w14:paraId="603483B7" w14:textId="293573D3" w:rsidR="00632244" w:rsidRPr="00EB392C" w:rsidRDefault="00632244" w:rsidP="00632244">
      <w:pPr>
        <w:pStyle w:val="Default"/>
        <w:jc w:val="center"/>
        <w:rPr>
          <w:color w:val="FF0000"/>
          <w:sz w:val="28"/>
          <w:szCs w:val="28"/>
        </w:rPr>
      </w:pPr>
      <w:r w:rsidRPr="00EB392C">
        <w:rPr>
          <w:color w:val="FF0000"/>
          <w:sz w:val="28"/>
          <w:szCs w:val="28"/>
        </w:rPr>
        <w:t xml:space="preserve">17,000 ppm of 1 </w:t>
      </w:r>
      <w:r w:rsidR="00EB392C" w:rsidRPr="00924611">
        <w:rPr>
          <w:rFonts w:eastAsia="Times New Roman"/>
          <w:color w:val="FF0000"/>
          <w:sz w:val="28"/>
          <w:szCs w:val="28"/>
          <w:lang w:eastAsia="en-GB"/>
          <w14:ligatures w14:val="none"/>
        </w:rPr>
        <w:t>º</w:t>
      </w:r>
      <w:r w:rsidRPr="00EB392C">
        <w:rPr>
          <w:color w:val="FF0000"/>
          <w:sz w:val="28"/>
          <w:szCs w:val="28"/>
        </w:rPr>
        <w:t>C</w:t>
      </w:r>
    </w:p>
    <w:p w14:paraId="33811FDE" w14:textId="77777777" w:rsidR="00632244" w:rsidRPr="00DC0672" w:rsidRDefault="00632244" w:rsidP="00632244">
      <w:pPr>
        <w:pStyle w:val="Default"/>
        <w:jc w:val="center"/>
      </w:pPr>
    </w:p>
    <w:p w14:paraId="39A9DDCC" w14:textId="0E51454D" w:rsidR="00632244" w:rsidRPr="00DC0672" w:rsidRDefault="00632244" w:rsidP="00632244">
      <w:pPr>
        <w:pStyle w:val="Default"/>
      </w:pPr>
      <w:r w:rsidRPr="00DC0672">
        <w:t xml:space="preserve">The UK contribution to global </w:t>
      </w:r>
      <w:r w:rsidR="00722A5C" w:rsidRPr="00DC0672">
        <w:t>CO</w:t>
      </w:r>
      <w:r w:rsidR="00722A5C" w:rsidRPr="00DC0672">
        <w:rPr>
          <w:vertAlign w:val="subscript"/>
        </w:rPr>
        <w:t xml:space="preserve">2 </w:t>
      </w:r>
      <w:r w:rsidRPr="00DC0672">
        <w:t xml:space="preserve">increase is about 1% of the total human contribution. </w:t>
      </w:r>
      <w:proofErr w:type="gramStart"/>
      <w:r w:rsidRPr="00DC0672">
        <w:t>So</w:t>
      </w:r>
      <w:proofErr w:type="gramEnd"/>
      <w:r w:rsidRPr="00DC0672">
        <w:t xml:space="preserve"> the UK’s element of the temperature increase is:</w:t>
      </w:r>
    </w:p>
    <w:p w14:paraId="483DB6F5" w14:textId="77777777" w:rsidR="00632244" w:rsidRPr="00DC0672" w:rsidRDefault="00632244" w:rsidP="00632244">
      <w:pPr>
        <w:pStyle w:val="Default"/>
      </w:pPr>
    </w:p>
    <w:p w14:paraId="675DDD4A" w14:textId="36E20CED" w:rsidR="00632244" w:rsidRPr="00EB392C" w:rsidRDefault="00632244" w:rsidP="00632244">
      <w:pPr>
        <w:pStyle w:val="Default"/>
        <w:jc w:val="center"/>
        <w:rPr>
          <w:color w:val="FF0000"/>
          <w:sz w:val="28"/>
          <w:szCs w:val="28"/>
        </w:rPr>
      </w:pPr>
      <w:r w:rsidRPr="00EB392C">
        <w:rPr>
          <w:color w:val="FF0000"/>
          <w:sz w:val="28"/>
          <w:szCs w:val="28"/>
        </w:rPr>
        <w:t>170 ppm of 1</w:t>
      </w:r>
      <w:r w:rsidR="00EB392C" w:rsidRPr="00EB392C">
        <w:rPr>
          <w:rFonts w:eastAsia="Times New Roman"/>
          <w:color w:val="FF0000"/>
          <w:sz w:val="28"/>
          <w:szCs w:val="28"/>
          <w:lang w:eastAsia="en-GB"/>
          <w14:ligatures w14:val="none"/>
        </w:rPr>
        <w:t xml:space="preserve"> </w:t>
      </w:r>
      <w:r w:rsidR="00EB392C" w:rsidRPr="00924611">
        <w:rPr>
          <w:rFonts w:eastAsia="Times New Roman"/>
          <w:color w:val="FF0000"/>
          <w:sz w:val="28"/>
          <w:szCs w:val="28"/>
          <w:lang w:eastAsia="en-GB"/>
          <w14:ligatures w14:val="none"/>
        </w:rPr>
        <w:t>º</w:t>
      </w:r>
      <w:r w:rsidRPr="00EB392C">
        <w:rPr>
          <w:color w:val="FF0000"/>
          <w:sz w:val="28"/>
          <w:szCs w:val="28"/>
        </w:rPr>
        <w:t>C</w:t>
      </w:r>
    </w:p>
    <w:p w14:paraId="107E5D20" w14:textId="77777777" w:rsidR="00632244" w:rsidRPr="00DC0672" w:rsidRDefault="00632244" w:rsidP="00632244">
      <w:pPr>
        <w:pStyle w:val="Default"/>
        <w:jc w:val="center"/>
      </w:pPr>
    </w:p>
    <w:p w14:paraId="1F06BEB5" w14:textId="6FC04D55" w:rsidR="000364B1" w:rsidRPr="00DC0672" w:rsidRDefault="00632244" w:rsidP="003876CB">
      <w:pPr>
        <w:pStyle w:val="Default"/>
      </w:pPr>
      <w:r w:rsidRPr="00DC0672">
        <w:t>But the Guardian article and the whole climate change hysteria</w:t>
      </w:r>
      <w:r w:rsidR="00342CCB" w:rsidRPr="00DC0672">
        <w:t xml:space="preserve"> evidently </w:t>
      </w:r>
      <w:r w:rsidRPr="00DC0672">
        <w:t xml:space="preserve">assumes that the increase in global temperature is entirely due to human activity. </w:t>
      </w:r>
      <w:r w:rsidR="00534A7A" w:rsidRPr="00DC0672">
        <w:t xml:space="preserve">This is evident because no distinction is drawn between them. </w:t>
      </w:r>
      <w:r w:rsidRPr="00DC0672">
        <w:t>Hence</w:t>
      </w:r>
      <w:r w:rsidR="00722A5C" w:rsidRPr="00DC0672">
        <w:t>,</w:t>
      </w:r>
      <w:r w:rsidRPr="00DC0672">
        <w:t xml:space="preserve"> the responses from </w:t>
      </w:r>
      <w:r w:rsidR="000364B1" w:rsidRPr="00DC0672">
        <w:t xml:space="preserve">77% of </w:t>
      </w:r>
      <w:r w:rsidRPr="00DC0672">
        <w:t xml:space="preserve">the so-called climate experts of the IPCC </w:t>
      </w:r>
      <w:r w:rsidR="000364B1" w:rsidRPr="00DC0672">
        <w:t xml:space="preserve">which claim a 2.5 </w:t>
      </w:r>
      <w:r w:rsidR="00EB392C" w:rsidRPr="00924611">
        <w:rPr>
          <w:rFonts w:eastAsia="Times New Roman"/>
          <w:lang w:eastAsia="en-GB"/>
          <w14:ligatures w14:val="none"/>
        </w:rPr>
        <w:t>ºC</w:t>
      </w:r>
      <w:r w:rsidR="00EB392C" w:rsidRPr="00DC0672">
        <w:t xml:space="preserve"> </w:t>
      </w:r>
      <w:r w:rsidR="000364B1" w:rsidRPr="00DC0672">
        <w:t>rise in temperature is nearly 150 times too large! Their answers range from 90 to 300 times too large.</w:t>
      </w:r>
      <w:r w:rsidR="00342CCB" w:rsidRPr="00DC0672">
        <w:t xml:space="preserve"> </w:t>
      </w:r>
      <w:proofErr w:type="gramStart"/>
      <w:r w:rsidR="005C1AF2" w:rsidRPr="00DC0672">
        <w:t>So</w:t>
      </w:r>
      <w:proofErr w:type="gramEnd"/>
      <w:r w:rsidR="005C1AF2" w:rsidRPr="00DC0672">
        <w:t xml:space="preserve"> ALL of the so-called IPCC experts </w:t>
      </w:r>
      <w:r w:rsidR="00534A7A" w:rsidRPr="00DC0672">
        <w:t xml:space="preserve">who responded </w:t>
      </w:r>
      <w:r w:rsidR="005C1AF2" w:rsidRPr="00DC0672">
        <w:t xml:space="preserve">got nowhere near the ACTUAL temperature increase that the IPCC results predict! </w:t>
      </w:r>
    </w:p>
    <w:p w14:paraId="7C64A799" w14:textId="77777777" w:rsidR="000364B1" w:rsidRPr="00DC0672" w:rsidRDefault="000364B1" w:rsidP="003876CB">
      <w:pPr>
        <w:pStyle w:val="Default"/>
      </w:pPr>
    </w:p>
    <w:p w14:paraId="66CA1CEA" w14:textId="78F0EEDD" w:rsidR="00342CCB" w:rsidRPr="00DC0672" w:rsidRDefault="005C1AF2" w:rsidP="003876CB">
      <w:pPr>
        <w:pStyle w:val="Default"/>
      </w:pPr>
      <w:r w:rsidRPr="00DC0672">
        <w:t xml:space="preserve">It is </w:t>
      </w:r>
      <w:r w:rsidR="000364B1" w:rsidRPr="00DC0672">
        <w:t xml:space="preserve">therefore </w:t>
      </w:r>
      <w:r w:rsidRPr="00DC0672">
        <w:t xml:space="preserve">clear that the IPCC’s predictions of catastrophic climate change </w:t>
      </w:r>
      <w:r w:rsidR="000364B1" w:rsidRPr="00DC0672">
        <w:t>are nothing more than</w:t>
      </w:r>
      <w:r w:rsidRPr="00DC0672">
        <w:t xml:space="preserve"> total horse manure, which is spread around by the shovel full by the media</w:t>
      </w:r>
      <w:r w:rsidR="000364B1" w:rsidRPr="00DC0672">
        <w:t>.</w:t>
      </w:r>
      <w:r w:rsidRPr="00DC0672">
        <w:t xml:space="preserve"> Unfortunately</w:t>
      </w:r>
      <w:r w:rsidR="000364B1" w:rsidRPr="00DC0672">
        <w:t>,</w:t>
      </w:r>
      <w:r w:rsidRPr="00DC0672">
        <w:t xml:space="preserve"> this is swallowed wholesale by </w:t>
      </w:r>
      <w:r w:rsidR="000364B1" w:rsidRPr="00DC0672">
        <w:t>our politicians</w:t>
      </w:r>
      <w:r w:rsidR="00342CCB" w:rsidRPr="00DC0672">
        <w:t xml:space="preserve">, such as Sunak and </w:t>
      </w:r>
      <w:proofErr w:type="spellStart"/>
      <w:r w:rsidR="00342CCB" w:rsidRPr="00DC0672">
        <w:t>Corthino</w:t>
      </w:r>
      <w:proofErr w:type="spellEnd"/>
      <w:r w:rsidR="00342CCB" w:rsidRPr="00DC0672">
        <w:t xml:space="preserve">, and </w:t>
      </w:r>
      <w:r w:rsidRPr="00DC0672">
        <w:t xml:space="preserve">the climate fanatics to </w:t>
      </w:r>
      <w:r w:rsidR="00534A7A" w:rsidRPr="00DC0672">
        <w:t xml:space="preserve">the </w:t>
      </w:r>
      <w:r w:rsidRPr="00DC0672">
        <w:t>total detriment</w:t>
      </w:r>
      <w:r w:rsidR="00342CCB" w:rsidRPr="00DC0672">
        <w:t xml:space="preserve"> of our society and economy</w:t>
      </w:r>
      <w:r w:rsidRPr="00DC0672">
        <w:t>.</w:t>
      </w:r>
    </w:p>
    <w:p w14:paraId="3B352593" w14:textId="77777777" w:rsidR="00534A7A" w:rsidRPr="00DC0672" w:rsidRDefault="00534A7A" w:rsidP="003876CB">
      <w:pPr>
        <w:pStyle w:val="Default"/>
      </w:pPr>
    </w:p>
    <w:p w14:paraId="74E8AC16" w14:textId="1D39DA90" w:rsidR="00534A7A" w:rsidRPr="00DC0672" w:rsidRDefault="00534A7A" w:rsidP="003876CB">
      <w:pPr>
        <w:pStyle w:val="Default"/>
      </w:pPr>
      <w:r w:rsidRPr="00DC0672">
        <w:t xml:space="preserve">As the IPCC is so unreliable I have argued in my note above that their results should be ignored in favour of data produced by the eminent </w:t>
      </w:r>
      <w:r w:rsidR="00B07F96" w:rsidRPr="00DC0672">
        <w:t xml:space="preserve">scientists </w:t>
      </w:r>
      <w:r w:rsidR="00B07F96" w:rsidRPr="00DC0672">
        <w:t xml:space="preserve">Dr William Happer, of Princeton University and Dr van </w:t>
      </w:r>
      <w:proofErr w:type="spellStart"/>
      <w:r w:rsidR="00B07F96" w:rsidRPr="00DC0672">
        <w:t>Wijngaarden</w:t>
      </w:r>
      <w:proofErr w:type="spellEnd"/>
      <w:r w:rsidR="00B07F96" w:rsidRPr="00DC0672">
        <w:t>, of York University, Canada,</w:t>
      </w:r>
      <w:r w:rsidRPr="00DC0672">
        <w:t xml:space="preserve"> </w:t>
      </w:r>
      <w:r w:rsidR="00B07F96" w:rsidRPr="00DC0672">
        <w:t>(</w:t>
      </w:r>
      <w:r w:rsidRPr="00DC0672">
        <w:t>see FIG 1 of my note</w:t>
      </w:r>
      <w:r w:rsidR="00B07F96" w:rsidRPr="00DC0672">
        <w:t>)</w:t>
      </w:r>
      <w:r w:rsidRPr="00DC0672">
        <w:t>. Th</w:t>
      </w:r>
      <w:r w:rsidR="00B07F96" w:rsidRPr="00DC0672">
        <w:t xml:space="preserve">e revised and probably much more accurate result is that the temperature </w:t>
      </w:r>
      <w:proofErr w:type="gramStart"/>
      <w:r w:rsidR="00B07F96" w:rsidRPr="00DC0672">
        <w:t>increase</w:t>
      </w:r>
      <w:proofErr w:type="gramEnd"/>
      <w:r w:rsidR="00B07F96" w:rsidRPr="00DC0672">
        <w:t xml:space="preserve"> due to the human element of increasing the global </w:t>
      </w:r>
      <w:bookmarkStart w:id="3" w:name="_Hlk167246626"/>
      <w:r w:rsidR="00722A5C" w:rsidRPr="00DC0672">
        <w:t>CO</w:t>
      </w:r>
      <w:r w:rsidR="00722A5C" w:rsidRPr="00DC0672">
        <w:rPr>
          <w:vertAlign w:val="subscript"/>
        </w:rPr>
        <w:t>2</w:t>
      </w:r>
      <w:r w:rsidR="00B07F96" w:rsidRPr="00DC0672">
        <w:t xml:space="preserve"> </w:t>
      </w:r>
      <w:bookmarkEnd w:id="3"/>
      <w:r w:rsidR="00B07F96" w:rsidRPr="00DC0672">
        <w:t>level from 420 ppm to 600 ppm is:</w:t>
      </w:r>
    </w:p>
    <w:p w14:paraId="6A5EFE3B" w14:textId="77777777" w:rsidR="00534A7A" w:rsidRPr="00DC0672" w:rsidRDefault="00534A7A" w:rsidP="003876CB">
      <w:pPr>
        <w:pStyle w:val="Default"/>
      </w:pPr>
    </w:p>
    <w:p w14:paraId="057A9F6F" w14:textId="62F1291B" w:rsidR="00B07F96" w:rsidRPr="00EB392C" w:rsidRDefault="005C1AF2" w:rsidP="00B07F96">
      <w:pPr>
        <w:pStyle w:val="Default"/>
        <w:jc w:val="center"/>
        <w:rPr>
          <w:color w:val="FF0000"/>
          <w:sz w:val="28"/>
          <w:szCs w:val="28"/>
        </w:rPr>
      </w:pPr>
      <w:r w:rsidRPr="00DC0672">
        <w:t xml:space="preserve"> </w:t>
      </w:r>
      <w:r w:rsidR="00B07F96" w:rsidRPr="00EB392C">
        <w:rPr>
          <w:color w:val="FF0000"/>
          <w:sz w:val="28"/>
          <w:szCs w:val="28"/>
        </w:rPr>
        <w:t xml:space="preserve">0.0036 </w:t>
      </w:r>
      <w:r w:rsidR="00B07F96" w:rsidRPr="00EB392C">
        <w:rPr>
          <w:color w:val="FF0000"/>
          <w:sz w:val="28"/>
          <w:szCs w:val="28"/>
          <w:vertAlign w:val="superscript"/>
        </w:rPr>
        <w:t>0</w:t>
      </w:r>
      <w:r w:rsidR="00B07F96" w:rsidRPr="00EB392C">
        <w:rPr>
          <w:color w:val="FF0000"/>
          <w:sz w:val="28"/>
          <w:szCs w:val="28"/>
        </w:rPr>
        <w:t>C or 3,600 ppm of 1</w:t>
      </w:r>
      <w:r w:rsidR="00B07F96" w:rsidRPr="00EB392C">
        <w:rPr>
          <w:color w:val="FF0000"/>
          <w:sz w:val="28"/>
          <w:szCs w:val="28"/>
          <w:vertAlign w:val="superscript"/>
        </w:rPr>
        <w:t>0</w:t>
      </w:r>
      <w:r w:rsidR="00B07F96" w:rsidRPr="00EB392C">
        <w:rPr>
          <w:color w:val="FF0000"/>
          <w:sz w:val="28"/>
          <w:szCs w:val="28"/>
        </w:rPr>
        <w:t xml:space="preserve">C </w:t>
      </w:r>
    </w:p>
    <w:p w14:paraId="4C430EE9" w14:textId="77777777" w:rsidR="00B07F96" w:rsidRPr="00DC0672" w:rsidRDefault="00B07F96" w:rsidP="00B07F96">
      <w:pPr>
        <w:pStyle w:val="Default"/>
        <w:jc w:val="center"/>
        <w:rPr>
          <w:color w:val="FF0000"/>
        </w:rPr>
      </w:pPr>
    </w:p>
    <w:p w14:paraId="439FD337" w14:textId="77777777" w:rsidR="00B07F96" w:rsidRPr="00DC0672" w:rsidRDefault="00B07F96" w:rsidP="00B07F96">
      <w:pPr>
        <w:pStyle w:val="Default"/>
        <w:rPr>
          <w:color w:val="auto"/>
        </w:rPr>
      </w:pPr>
      <w:r w:rsidRPr="00DC0672">
        <w:rPr>
          <w:color w:val="FF0000"/>
        </w:rPr>
        <w:t xml:space="preserve"> </w:t>
      </w:r>
      <w:r w:rsidRPr="00DC0672">
        <w:rPr>
          <w:color w:val="auto"/>
        </w:rPr>
        <w:t>of which the UK contribution would be:</w:t>
      </w:r>
    </w:p>
    <w:p w14:paraId="6576C543" w14:textId="77777777" w:rsidR="00B07F96" w:rsidRPr="00DC0672" w:rsidRDefault="00B07F96" w:rsidP="00B07F96">
      <w:pPr>
        <w:pStyle w:val="Default"/>
        <w:rPr>
          <w:color w:val="auto"/>
        </w:rPr>
      </w:pPr>
    </w:p>
    <w:p w14:paraId="187A84D7" w14:textId="281CA2CE" w:rsidR="00B07F96" w:rsidRPr="00EB392C" w:rsidRDefault="00B07F96" w:rsidP="00B07F96">
      <w:pPr>
        <w:pStyle w:val="Default"/>
        <w:jc w:val="center"/>
        <w:rPr>
          <w:color w:val="FF0000"/>
          <w:sz w:val="28"/>
          <w:szCs w:val="28"/>
        </w:rPr>
      </w:pPr>
      <w:r w:rsidRPr="00EB392C">
        <w:rPr>
          <w:color w:val="FF0000"/>
          <w:sz w:val="28"/>
          <w:szCs w:val="28"/>
        </w:rPr>
        <w:t>36 ppm of 1</w:t>
      </w:r>
      <w:r w:rsidRPr="00EB392C">
        <w:rPr>
          <w:color w:val="FF0000"/>
          <w:sz w:val="28"/>
          <w:szCs w:val="28"/>
          <w:vertAlign w:val="superscript"/>
        </w:rPr>
        <w:t>0</w:t>
      </w:r>
      <w:r w:rsidRPr="00EB392C">
        <w:rPr>
          <w:color w:val="FF0000"/>
          <w:sz w:val="28"/>
          <w:szCs w:val="28"/>
        </w:rPr>
        <w:t>C</w:t>
      </w:r>
    </w:p>
    <w:p w14:paraId="077A11F7" w14:textId="77777777" w:rsidR="003876CB" w:rsidRPr="00DC0672" w:rsidRDefault="003876CB" w:rsidP="003876CB">
      <w:pPr>
        <w:pStyle w:val="Default"/>
      </w:pPr>
    </w:p>
    <w:p w14:paraId="65C33789" w14:textId="31ACAEF7" w:rsidR="008E4414" w:rsidRDefault="00EB392C" w:rsidP="00924611">
      <w:pPr>
        <w:spacing w:before="100" w:beforeAutospacing="1" w:after="100" w:afterAutospacing="1" w:line="240" w:lineRule="auto"/>
        <w:rPr>
          <w:rFonts w:ascii="Arial" w:eastAsia="Times New Roman" w:hAnsi="Arial" w:cs="Arial"/>
          <w:sz w:val="24"/>
          <w:szCs w:val="24"/>
          <w:lang w:eastAsia="en-GB"/>
          <w14:ligatures w14:val="none"/>
        </w:rPr>
      </w:pPr>
      <w:r>
        <w:rPr>
          <w:rFonts w:ascii="Arial" w:eastAsia="Times New Roman" w:hAnsi="Arial" w:cs="Arial"/>
          <w:sz w:val="24"/>
          <w:szCs w:val="24"/>
          <w:lang w:eastAsia="en-GB"/>
          <w14:ligatures w14:val="none"/>
        </w:rPr>
        <w:t>CONCLUSION</w:t>
      </w:r>
    </w:p>
    <w:p w14:paraId="2625280F" w14:textId="7EEAE950" w:rsidR="00EB392C" w:rsidRDefault="00EB392C" w:rsidP="00EB392C">
      <w:pPr>
        <w:pStyle w:val="Default"/>
      </w:pPr>
      <w:r w:rsidRPr="00DC0672">
        <w:t xml:space="preserve">It is </w:t>
      </w:r>
      <w:proofErr w:type="gramStart"/>
      <w:r w:rsidRPr="00DC0672">
        <w:t>absolutely scandalous</w:t>
      </w:r>
      <w:proofErr w:type="gramEnd"/>
      <w:r w:rsidRPr="00DC0672">
        <w:t xml:space="preserve"> that the government is basing its policy on such a ridiculous entity as the IPCC. </w:t>
      </w:r>
      <w:proofErr w:type="gramStart"/>
      <w:r w:rsidRPr="00DC0672">
        <w:t>This  was</w:t>
      </w:r>
      <w:proofErr w:type="gramEnd"/>
      <w:r w:rsidRPr="00DC0672">
        <w:t xml:space="preserve"> set up purely and primarily to promote the concept that human activity causes increased levels of CO</w:t>
      </w:r>
      <w:r w:rsidRPr="00DC0672">
        <w:rPr>
          <w:vertAlign w:val="subscript"/>
        </w:rPr>
        <w:t>2</w:t>
      </w:r>
      <w:r w:rsidRPr="00DC0672">
        <w:t xml:space="preserve"> which is causing catastrophic global temperature increases.</w:t>
      </w:r>
    </w:p>
    <w:p w14:paraId="3E9957AF" w14:textId="77777777" w:rsidR="00EB392C" w:rsidRDefault="00EB392C" w:rsidP="00EB392C">
      <w:pPr>
        <w:pStyle w:val="Default"/>
      </w:pPr>
    </w:p>
    <w:p w14:paraId="09BB2A71" w14:textId="1452B39B" w:rsidR="00EB392C" w:rsidRDefault="00EB392C" w:rsidP="00EB392C">
      <w:pPr>
        <w:pStyle w:val="Default"/>
      </w:pPr>
      <w:r>
        <w:t>The hysteria generated by the IPCC and the media, including the BBC, Sky News and the Guardian for example suggests that the title of this note should be changed to:</w:t>
      </w:r>
    </w:p>
    <w:p w14:paraId="5B4AE266" w14:textId="77777777" w:rsidR="00EB392C" w:rsidRDefault="00EB392C" w:rsidP="00EB392C">
      <w:pPr>
        <w:pStyle w:val="Default"/>
      </w:pPr>
    </w:p>
    <w:p w14:paraId="3840D609" w14:textId="313479B4" w:rsidR="00EB392C" w:rsidRDefault="00EB392C" w:rsidP="00081CA6">
      <w:pPr>
        <w:pStyle w:val="Default"/>
        <w:jc w:val="center"/>
      </w:pPr>
      <w:r>
        <w:t xml:space="preserve">FOOLS, </w:t>
      </w:r>
      <w:proofErr w:type="gramStart"/>
      <w:r>
        <w:t>DAMN</w:t>
      </w:r>
      <w:proofErr w:type="gramEnd"/>
      <w:r>
        <w:t xml:space="preserve"> FOOLS and GOOD GRIEF, HOW STUPID CAN YOU GET?</w:t>
      </w:r>
    </w:p>
    <w:p w14:paraId="11887AF9" w14:textId="77777777" w:rsidR="00EB392C" w:rsidRDefault="00EB392C" w:rsidP="00EB392C">
      <w:pPr>
        <w:pStyle w:val="Default"/>
      </w:pPr>
    </w:p>
    <w:p w14:paraId="780700F7" w14:textId="106B7550" w:rsidR="00EB392C" w:rsidRPr="00DC0672" w:rsidRDefault="00EB392C" w:rsidP="00EB392C">
      <w:pPr>
        <w:pStyle w:val="Default"/>
      </w:pPr>
      <w:r>
        <w:t>J Wraith</w:t>
      </w:r>
    </w:p>
    <w:p w14:paraId="2EA061AD" w14:textId="77777777" w:rsidR="00EB392C" w:rsidRPr="00DC0672" w:rsidRDefault="00EB392C" w:rsidP="00924611">
      <w:pPr>
        <w:spacing w:before="100" w:beforeAutospacing="1" w:after="100" w:afterAutospacing="1" w:line="240" w:lineRule="auto"/>
        <w:rPr>
          <w:rFonts w:ascii="Arial" w:eastAsia="Times New Roman" w:hAnsi="Arial" w:cs="Arial"/>
          <w:sz w:val="24"/>
          <w:szCs w:val="24"/>
          <w:lang w:eastAsia="en-GB"/>
          <w14:ligatures w14:val="none"/>
        </w:rPr>
      </w:pPr>
    </w:p>
    <w:p w14:paraId="7B65E900"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555A9C41"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193034C6"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6E560D40"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272E77C0"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7FFC327E"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2ABEA2BA"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2E1566CB"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7AC17855"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069A857F"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2CBF5461" w14:textId="77777777" w:rsidR="008E4414" w:rsidRPr="00DC0672"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p>
    <w:p w14:paraId="347E1FA6" w14:textId="71001F58" w:rsidR="00924611" w:rsidRPr="00924611" w:rsidRDefault="008E4414" w:rsidP="00924611">
      <w:pPr>
        <w:spacing w:before="100" w:beforeAutospacing="1" w:after="100" w:afterAutospacing="1" w:line="240" w:lineRule="auto"/>
        <w:rPr>
          <w:rFonts w:ascii="Arial" w:eastAsia="Times New Roman" w:hAnsi="Arial" w:cs="Arial"/>
          <w:sz w:val="24"/>
          <w:szCs w:val="24"/>
          <w:lang w:eastAsia="en-GB"/>
          <w14:ligatures w14:val="none"/>
        </w:rPr>
      </w:pPr>
      <w:r w:rsidRPr="00DC0672">
        <w:rPr>
          <w:rFonts w:ascii="Arial" w:eastAsia="Times New Roman" w:hAnsi="Arial" w:cs="Arial"/>
          <w:sz w:val="24"/>
          <w:szCs w:val="24"/>
          <w:lang w:eastAsia="en-GB"/>
          <w14:ligatures w14:val="none"/>
        </w:rPr>
        <w:t xml:space="preserve"> </w:t>
      </w:r>
    </w:p>
    <w:p w14:paraId="0AD2784E" w14:textId="77777777" w:rsidR="00134917" w:rsidRPr="00DC0672" w:rsidRDefault="00134917" w:rsidP="006969EA">
      <w:pPr>
        <w:pStyle w:val="Default"/>
        <w:jc w:val="center"/>
        <w:rPr>
          <w:u w:val="single"/>
        </w:rPr>
      </w:pPr>
    </w:p>
    <w:p w14:paraId="7A5BBA33" w14:textId="77777777" w:rsidR="00134917" w:rsidRPr="00DC0672" w:rsidRDefault="00134917" w:rsidP="006969EA">
      <w:pPr>
        <w:pStyle w:val="Default"/>
        <w:jc w:val="center"/>
        <w:rPr>
          <w:u w:val="single"/>
        </w:rPr>
      </w:pPr>
    </w:p>
    <w:p w14:paraId="0FFBD0D8" w14:textId="77777777" w:rsidR="00134917" w:rsidRPr="00DC0672" w:rsidRDefault="00134917" w:rsidP="006969EA">
      <w:pPr>
        <w:pStyle w:val="Default"/>
        <w:jc w:val="center"/>
        <w:rPr>
          <w:u w:val="single"/>
        </w:rPr>
      </w:pPr>
    </w:p>
    <w:p w14:paraId="4ECD0490" w14:textId="77777777" w:rsidR="00134917" w:rsidRPr="00DC0672" w:rsidRDefault="00134917" w:rsidP="006969EA">
      <w:pPr>
        <w:pStyle w:val="Default"/>
        <w:jc w:val="center"/>
        <w:rPr>
          <w:u w:val="single"/>
        </w:rPr>
      </w:pPr>
    </w:p>
    <w:p w14:paraId="495EE924" w14:textId="77777777" w:rsidR="00134917" w:rsidRPr="00DC0672" w:rsidRDefault="00134917" w:rsidP="006969EA">
      <w:pPr>
        <w:pStyle w:val="Default"/>
        <w:jc w:val="center"/>
        <w:rPr>
          <w:u w:val="single"/>
        </w:rPr>
      </w:pPr>
    </w:p>
    <w:p w14:paraId="2CD0460D" w14:textId="77777777" w:rsidR="00134917" w:rsidRPr="00DC0672" w:rsidRDefault="00134917" w:rsidP="006969EA">
      <w:pPr>
        <w:pStyle w:val="Default"/>
        <w:jc w:val="center"/>
        <w:rPr>
          <w:u w:val="single"/>
        </w:rPr>
      </w:pPr>
    </w:p>
    <w:p w14:paraId="4B873FF2" w14:textId="77777777" w:rsidR="00134917" w:rsidRPr="00DC0672" w:rsidRDefault="00134917" w:rsidP="006969EA">
      <w:pPr>
        <w:pStyle w:val="Default"/>
        <w:jc w:val="center"/>
        <w:rPr>
          <w:u w:val="single"/>
        </w:rPr>
      </w:pPr>
    </w:p>
    <w:p w14:paraId="6F0E11C1" w14:textId="77777777" w:rsidR="00134917" w:rsidRPr="00DC0672" w:rsidRDefault="00134917" w:rsidP="006969EA">
      <w:pPr>
        <w:pStyle w:val="Default"/>
        <w:jc w:val="center"/>
        <w:rPr>
          <w:u w:val="single"/>
        </w:rPr>
      </w:pPr>
    </w:p>
    <w:p w14:paraId="75F12A60" w14:textId="77777777" w:rsidR="00134917" w:rsidRDefault="00134917" w:rsidP="006969EA">
      <w:pPr>
        <w:pStyle w:val="Default"/>
        <w:jc w:val="center"/>
        <w:rPr>
          <w:sz w:val="32"/>
          <w:szCs w:val="32"/>
          <w:u w:val="single"/>
        </w:rPr>
      </w:pPr>
    </w:p>
    <w:p w14:paraId="7DF485E8" w14:textId="77777777" w:rsidR="00134917" w:rsidRDefault="00134917" w:rsidP="006969EA">
      <w:pPr>
        <w:pStyle w:val="Default"/>
        <w:jc w:val="center"/>
        <w:rPr>
          <w:sz w:val="32"/>
          <w:szCs w:val="32"/>
          <w:u w:val="single"/>
        </w:rPr>
      </w:pPr>
    </w:p>
    <w:sectPr w:rsidR="00134917" w:rsidSect="0087334C">
      <w:footerReference w:type="defaul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18C49" w14:textId="77777777" w:rsidR="006E54B9" w:rsidRDefault="006E54B9" w:rsidP="005B07FF">
      <w:pPr>
        <w:spacing w:after="0" w:line="240" w:lineRule="auto"/>
      </w:pPr>
      <w:r>
        <w:separator/>
      </w:r>
    </w:p>
  </w:endnote>
  <w:endnote w:type="continuationSeparator" w:id="0">
    <w:p w14:paraId="74559432" w14:textId="77777777" w:rsidR="006E54B9" w:rsidRDefault="006E54B9" w:rsidP="005B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338306"/>
      <w:docPartObj>
        <w:docPartGallery w:val="Page Numbers (Bottom of Page)"/>
        <w:docPartUnique/>
      </w:docPartObj>
    </w:sdtPr>
    <w:sdtEndPr>
      <w:rPr>
        <w:noProof/>
      </w:rPr>
    </w:sdtEndPr>
    <w:sdtContent>
      <w:p w14:paraId="4927309B" w14:textId="208963C6" w:rsidR="005B07FF" w:rsidRDefault="005B0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1C901" w14:textId="77777777" w:rsidR="005B07FF" w:rsidRDefault="005B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418E8" w14:textId="77777777" w:rsidR="006E54B9" w:rsidRDefault="006E54B9" w:rsidP="005B07FF">
      <w:pPr>
        <w:spacing w:after="0" w:line="240" w:lineRule="auto"/>
      </w:pPr>
      <w:r>
        <w:separator/>
      </w:r>
    </w:p>
  </w:footnote>
  <w:footnote w:type="continuationSeparator" w:id="0">
    <w:p w14:paraId="26272D1F" w14:textId="77777777" w:rsidR="006E54B9" w:rsidRDefault="006E54B9" w:rsidP="005B0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12EEE"/>
    <w:multiLevelType w:val="hybridMultilevel"/>
    <w:tmpl w:val="C9C29F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A022F4"/>
    <w:multiLevelType w:val="hybridMultilevel"/>
    <w:tmpl w:val="29482124"/>
    <w:lvl w:ilvl="0" w:tplc="CECCE37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11E9E"/>
    <w:multiLevelType w:val="hybridMultilevel"/>
    <w:tmpl w:val="C3EE35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1C5F32"/>
    <w:multiLevelType w:val="hybridMultilevel"/>
    <w:tmpl w:val="4A3EB6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0E0D5A"/>
    <w:multiLevelType w:val="hybridMultilevel"/>
    <w:tmpl w:val="C74C6160"/>
    <w:lvl w:ilvl="0" w:tplc="653AF42C">
      <w:start w:val="4"/>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D16796"/>
    <w:multiLevelType w:val="hybridMultilevel"/>
    <w:tmpl w:val="FE803920"/>
    <w:lvl w:ilvl="0" w:tplc="DA5CB70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4914164">
    <w:abstractNumId w:val="3"/>
  </w:num>
  <w:num w:numId="2" w16cid:durableId="998192527">
    <w:abstractNumId w:val="1"/>
  </w:num>
  <w:num w:numId="3" w16cid:durableId="405305870">
    <w:abstractNumId w:val="4"/>
  </w:num>
  <w:num w:numId="4" w16cid:durableId="61830544">
    <w:abstractNumId w:val="0"/>
  </w:num>
  <w:num w:numId="5" w16cid:durableId="695423537">
    <w:abstractNumId w:val="5"/>
  </w:num>
  <w:num w:numId="6" w16cid:durableId="1668441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47F9"/>
    <w:rsid w:val="0000622A"/>
    <w:rsid w:val="00006B04"/>
    <w:rsid w:val="00006C39"/>
    <w:rsid w:val="000072C6"/>
    <w:rsid w:val="00010198"/>
    <w:rsid w:val="00015F3D"/>
    <w:rsid w:val="00024DCA"/>
    <w:rsid w:val="0002534B"/>
    <w:rsid w:val="0003121C"/>
    <w:rsid w:val="000364B1"/>
    <w:rsid w:val="00040EA8"/>
    <w:rsid w:val="00043195"/>
    <w:rsid w:val="000456C0"/>
    <w:rsid w:val="000513DB"/>
    <w:rsid w:val="00057DA0"/>
    <w:rsid w:val="00057E83"/>
    <w:rsid w:val="00065142"/>
    <w:rsid w:val="00065AF7"/>
    <w:rsid w:val="00067767"/>
    <w:rsid w:val="00073135"/>
    <w:rsid w:val="0007328A"/>
    <w:rsid w:val="000740A6"/>
    <w:rsid w:val="00075A8B"/>
    <w:rsid w:val="00081316"/>
    <w:rsid w:val="0008154B"/>
    <w:rsid w:val="00081CA6"/>
    <w:rsid w:val="000A5652"/>
    <w:rsid w:val="000B2432"/>
    <w:rsid w:val="000B53AA"/>
    <w:rsid w:val="000C0B99"/>
    <w:rsid w:val="000C35C1"/>
    <w:rsid w:val="000D3BBC"/>
    <w:rsid w:val="000E0E5B"/>
    <w:rsid w:val="000E1862"/>
    <w:rsid w:val="000F7433"/>
    <w:rsid w:val="00103BDB"/>
    <w:rsid w:val="001043BA"/>
    <w:rsid w:val="001044CE"/>
    <w:rsid w:val="00105A8F"/>
    <w:rsid w:val="00106488"/>
    <w:rsid w:val="00106EDC"/>
    <w:rsid w:val="0010728E"/>
    <w:rsid w:val="0011499C"/>
    <w:rsid w:val="00117087"/>
    <w:rsid w:val="00117BEE"/>
    <w:rsid w:val="0012560F"/>
    <w:rsid w:val="00127F30"/>
    <w:rsid w:val="0013436E"/>
    <w:rsid w:val="00134917"/>
    <w:rsid w:val="00137F35"/>
    <w:rsid w:val="001528A2"/>
    <w:rsid w:val="00174342"/>
    <w:rsid w:val="00183BEE"/>
    <w:rsid w:val="001943B9"/>
    <w:rsid w:val="00195751"/>
    <w:rsid w:val="00195C14"/>
    <w:rsid w:val="00195F71"/>
    <w:rsid w:val="001A1244"/>
    <w:rsid w:val="001A1FF1"/>
    <w:rsid w:val="001B1F83"/>
    <w:rsid w:val="001B254F"/>
    <w:rsid w:val="001B269B"/>
    <w:rsid w:val="001C2358"/>
    <w:rsid w:val="001D5F45"/>
    <w:rsid w:val="001F7383"/>
    <w:rsid w:val="0020606F"/>
    <w:rsid w:val="00211EF1"/>
    <w:rsid w:val="002156CE"/>
    <w:rsid w:val="00234E54"/>
    <w:rsid w:val="0024041C"/>
    <w:rsid w:val="002507B3"/>
    <w:rsid w:val="002521D6"/>
    <w:rsid w:val="00253279"/>
    <w:rsid w:val="002654F0"/>
    <w:rsid w:val="00271DD2"/>
    <w:rsid w:val="00273353"/>
    <w:rsid w:val="0028014E"/>
    <w:rsid w:val="00280608"/>
    <w:rsid w:val="002817D7"/>
    <w:rsid w:val="00287E66"/>
    <w:rsid w:val="00291274"/>
    <w:rsid w:val="00291BB0"/>
    <w:rsid w:val="00294C4A"/>
    <w:rsid w:val="00295D4A"/>
    <w:rsid w:val="002A593F"/>
    <w:rsid w:val="002A5E40"/>
    <w:rsid w:val="002A6182"/>
    <w:rsid w:val="002B11D7"/>
    <w:rsid w:val="002B62C6"/>
    <w:rsid w:val="002B756B"/>
    <w:rsid w:val="002C3762"/>
    <w:rsid w:val="002C4684"/>
    <w:rsid w:val="002D58F3"/>
    <w:rsid w:val="002E0C0B"/>
    <w:rsid w:val="002E4D37"/>
    <w:rsid w:val="002E4E43"/>
    <w:rsid w:val="0030568D"/>
    <w:rsid w:val="003209FF"/>
    <w:rsid w:val="00323FD4"/>
    <w:rsid w:val="0032796B"/>
    <w:rsid w:val="0034070B"/>
    <w:rsid w:val="00342CCB"/>
    <w:rsid w:val="003436C3"/>
    <w:rsid w:val="00343E92"/>
    <w:rsid w:val="003446F3"/>
    <w:rsid w:val="00350EC0"/>
    <w:rsid w:val="00355E6F"/>
    <w:rsid w:val="00365B3F"/>
    <w:rsid w:val="003728A9"/>
    <w:rsid w:val="00384E2A"/>
    <w:rsid w:val="003876CB"/>
    <w:rsid w:val="00396021"/>
    <w:rsid w:val="003C1581"/>
    <w:rsid w:val="003C47FD"/>
    <w:rsid w:val="003E0AF5"/>
    <w:rsid w:val="003E4A11"/>
    <w:rsid w:val="003E5661"/>
    <w:rsid w:val="003E774C"/>
    <w:rsid w:val="003F11BA"/>
    <w:rsid w:val="003F712E"/>
    <w:rsid w:val="00401721"/>
    <w:rsid w:val="00401995"/>
    <w:rsid w:val="00403E23"/>
    <w:rsid w:val="00406C17"/>
    <w:rsid w:val="00411965"/>
    <w:rsid w:val="00415289"/>
    <w:rsid w:val="00415FF7"/>
    <w:rsid w:val="00420311"/>
    <w:rsid w:val="00424E7E"/>
    <w:rsid w:val="004255D7"/>
    <w:rsid w:val="004303B4"/>
    <w:rsid w:val="00434603"/>
    <w:rsid w:val="00437C0A"/>
    <w:rsid w:val="00440ADB"/>
    <w:rsid w:val="0045340B"/>
    <w:rsid w:val="00477449"/>
    <w:rsid w:val="0048325F"/>
    <w:rsid w:val="00483488"/>
    <w:rsid w:val="00483753"/>
    <w:rsid w:val="004912FA"/>
    <w:rsid w:val="004A35EF"/>
    <w:rsid w:val="004B6274"/>
    <w:rsid w:val="004D17B8"/>
    <w:rsid w:val="004D1EF0"/>
    <w:rsid w:val="004E2589"/>
    <w:rsid w:val="004E7A7B"/>
    <w:rsid w:val="004F18BF"/>
    <w:rsid w:val="0050075B"/>
    <w:rsid w:val="00504337"/>
    <w:rsid w:val="005124BF"/>
    <w:rsid w:val="00513363"/>
    <w:rsid w:val="00521F17"/>
    <w:rsid w:val="00525B04"/>
    <w:rsid w:val="00531FFE"/>
    <w:rsid w:val="005334DC"/>
    <w:rsid w:val="00534A7A"/>
    <w:rsid w:val="005367C5"/>
    <w:rsid w:val="005427A3"/>
    <w:rsid w:val="00543CEE"/>
    <w:rsid w:val="005563FC"/>
    <w:rsid w:val="005618B7"/>
    <w:rsid w:val="00566D9A"/>
    <w:rsid w:val="005872D1"/>
    <w:rsid w:val="00592B20"/>
    <w:rsid w:val="00594FCB"/>
    <w:rsid w:val="005A3717"/>
    <w:rsid w:val="005B07FF"/>
    <w:rsid w:val="005C1AF2"/>
    <w:rsid w:val="005C4BD4"/>
    <w:rsid w:val="005C7341"/>
    <w:rsid w:val="005D2FB2"/>
    <w:rsid w:val="005E4652"/>
    <w:rsid w:val="005E68FD"/>
    <w:rsid w:val="005F6C71"/>
    <w:rsid w:val="00600CA5"/>
    <w:rsid w:val="00603F90"/>
    <w:rsid w:val="006115F5"/>
    <w:rsid w:val="00615C02"/>
    <w:rsid w:val="0062742C"/>
    <w:rsid w:val="00630D23"/>
    <w:rsid w:val="00632244"/>
    <w:rsid w:val="006322EA"/>
    <w:rsid w:val="00634B44"/>
    <w:rsid w:val="006351CE"/>
    <w:rsid w:val="00636BDC"/>
    <w:rsid w:val="00640A7D"/>
    <w:rsid w:val="00642B09"/>
    <w:rsid w:val="00643FC0"/>
    <w:rsid w:val="00644F50"/>
    <w:rsid w:val="00656280"/>
    <w:rsid w:val="0066431E"/>
    <w:rsid w:val="00665C64"/>
    <w:rsid w:val="00676C46"/>
    <w:rsid w:val="00684C4F"/>
    <w:rsid w:val="006903BF"/>
    <w:rsid w:val="006969EA"/>
    <w:rsid w:val="0069748A"/>
    <w:rsid w:val="006A2E50"/>
    <w:rsid w:val="006A74F1"/>
    <w:rsid w:val="006B6219"/>
    <w:rsid w:val="006D3E27"/>
    <w:rsid w:val="006D57E2"/>
    <w:rsid w:val="006E1BA7"/>
    <w:rsid w:val="006E54B9"/>
    <w:rsid w:val="006E60B1"/>
    <w:rsid w:val="006F2872"/>
    <w:rsid w:val="00700206"/>
    <w:rsid w:val="007048F3"/>
    <w:rsid w:val="00711C9B"/>
    <w:rsid w:val="00722A5C"/>
    <w:rsid w:val="00726ACA"/>
    <w:rsid w:val="007314CB"/>
    <w:rsid w:val="00737C90"/>
    <w:rsid w:val="0074449D"/>
    <w:rsid w:val="00746C67"/>
    <w:rsid w:val="00762E93"/>
    <w:rsid w:val="00765C5D"/>
    <w:rsid w:val="00766C0F"/>
    <w:rsid w:val="00767218"/>
    <w:rsid w:val="007841E6"/>
    <w:rsid w:val="00784B23"/>
    <w:rsid w:val="00785485"/>
    <w:rsid w:val="00785A67"/>
    <w:rsid w:val="007A3779"/>
    <w:rsid w:val="007B26EC"/>
    <w:rsid w:val="007C3A64"/>
    <w:rsid w:val="007C3C85"/>
    <w:rsid w:val="007D11F9"/>
    <w:rsid w:val="007D2C66"/>
    <w:rsid w:val="007D3073"/>
    <w:rsid w:val="007D78A6"/>
    <w:rsid w:val="007E1FF1"/>
    <w:rsid w:val="007E5ED8"/>
    <w:rsid w:val="007F023C"/>
    <w:rsid w:val="00805ACC"/>
    <w:rsid w:val="008347FC"/>
    <w:rsid w:val="00836A96"/>
    <w:rsid w:val="0083707B"/>
    <w:rsid w:val="00840626"/>
    <w:rsid w:val="0084241B"/>
    <w:rsid w:val="0084318B"/>
    <w:rsid w:val="008561B2"/>
    <w:rsid w:val="00857D28"/>
    <w:rsid w:val="00862A1A"/>
    <w:rsid w:val="00865F6D"/>
    <w:rsid w:val="0087334C"/>
    <w:rsid w:val="00877C8F"/>
    <w:rsid w:val="008860CC"/>
    <w:rsid w:val="00894387"/>
    <w:rsid w:val="008975B5"/>
    <w:rsid w:val="008A4C3E"/>
    <w:rsid w:val="008B0295"/>
    <w:rsid w:val="008B0E5F"/>
    <w:rsid w:val="008C16AD"/>
    <w:rsid w:val="008C49C4"/>
    <w:rsid w:val="008C6CA3"/>
    <w:rsid w:val="008D09AE"/>
    <w:rsid w:val="008E1895"/>
    <w:rsid w:val="008E4414"/>
    <w:rsid w:val="008F24CB"/>
    <w:rsid w:val="008F47DA"/>
    <w:rsid w:val="008F6BF5"/>
    <w:rsid w:val="008F7A2F"/>
    <w:rsid w:val="009018DD"/>
    <w:rsid w:val="009021A5"/>
    <w:rsid w:val="00905677"/>
    <w:rsid w:val="00912350"/>
    <w:rsid w:val="00914F8F"/>
    <w:rsid w:val="00924611"/>
    <w:rsid w:val="00930628"/>
    <w:rsid w:val="009400F2"/>
    <w:rsid w:val="009522A6"/>
    <w:rsid w:val="00953D18"/>
    <w:rsid w:val="009551E0"/>
    <w:rsid w:val="009629D8"/>
    <w:rsid w:val="00964C7D"/>
    <w:rsid w:val="00966B43"/>
    <w:rsid w:val="00967463"/>
    <w:rsid w:val="00967CC4"/>
    <w:rsid w:val="00971403"/>
    <w:rsid w:val="009851FB"/>
    <w:rsid w:val="00985203"/>
    <w:rsid w:val="00986C3E"/>
    <w:rsid w:val="00987091"/>
    <w:rsid w:val="0099057A"/>
    <w:rsid w:val="009943F7"/>
    <w:rsid w:val="009A6A3B"/>
    <w:rsid w:val="009A7BF0"/>
    <w:rsid w:val="009B7D83"/>
    <w:rsid w:val="009C7AC9"/>
    <w:rsid w:val="009D0B73"/>
    <w:rsid w:val="009E04FA"/>
    <w:rsid w:val="009E19DE"/>
    <w:rsid w:val="009E3C99"/>
    <w:rsid w:val="009E65AA"/>
    <w:rsid w:val="009F5A7C"/>
    <w:rsid w:val="009F60F8"/>
    <w:rsid w:val="00A01183"/>
    <w:rsid w:val="00A01C04"/>
    <w:rsid w:val="00A02276"/>
    <w:rsid w:val="00A02F16"/>
    <w:rsid w:val="00A05564"/>
    <w:rsid w:val="00A063A3"/>
    <w:rsid w:val="00A11455"/>
    <w:rsid w:val="00A158B0"/>
    <w:rsid w:val="00A15E21"/>
    <w:rsid w:val="00A17347"/>
    <w:rsid w:val="00A30B2F"/>
    <w:rsid w:val="00A35C22"/>
    <w:rsid w:val="00A40245"/>
    <w:rsid w:val="00A41502"/>
    <w:rsid w:val="00A43918"/>
    <w:rsid w:val="00A50D7B"/>
    <w:rsid w:val="00A56B20"/>
    <w:rsid w:val="00A65884"/>
    <w:rsid w:val="00A67921"/>
    <w:rsid w:val="00A67A4B"/>
    <w:rsid w:val="00A86893"/>
    <w:rsid w:val="00A969D9"/>
    <w:rsid w:val="00AA23AC"/>
    <w:rsid w:val="00AA40C6"/>
    <w:rsid w:val="00AB5147"/>
    <w:rsid w:val="00AC0E3F"/>
    <w:rsid w:val="00AC4880"/>
    <w:rsid w:val="00AC7D13"/>
    <w:rsid w:val="00AD1741"/>
    <w:rsid w:val="00AD40A8"/>
    <w:rsid w:val="00AF0746"/>
    <w:rsid w:val="00AF2C31"/>
    <w:rsid w:val="00B06841"/>
    <w:rsid w:val="00B07F96"/>
    <w:rsid w:val="00B27FF8"/>
    <w:rsid w:val="00B30B26"/>
    <w:rsid w:val="00B33B14"/>
    <w:rsid w:val="00B35B16"/>
    <w:rsid w:val="00B37AED"/>
    <w:rsid w:val="00B54445"/>
    <w:rsid w:val="00B5604E"/>
    <w:rsid w:val="00B56606"/>
    <w:rsid w:val="00B75B9D"/>
    <w:rsid w:val="00B879EE"/>
    <w:rsid w:val="00B93E56"/>
    <w:rsid w:val="00B971CE"/>
    <w:rsid w:val="00BA05E3"/>
    <w:rsid w:val="00BA5221"/>
    <w:rsid w:val="00BB6482"/>
    <w:rsid w:val="00BB6BCE"/>
    <w:rsid w:val="00BC079D"/>
    <w:rsid w:val="00BC191B"/>
    <w:rsid w:val="00BC3ADA"/>
    <w:rsid w:val="00BC6E1F"/>
    <w:rsid w:val="00BD7ACF"/>
    <w:rsid w:val="00BE0CE6"/>
    <w:rsid w:val="00BE7BEB"/>
    <w:rsid w:val="00BF0522"/>
    <w:rsid w:val="00BF0A32"/>
    <w:rsid w:val="00BF1676"/>
    <w:rsid w:val="00BF1AB0"/>
    <w:rsid w:val="00C06BE7"/>
    <w:rsid w:val="00C07C56"/>
    <w:rsid w:val="00C1190C"/>
    <w:rsid w:val="00C149EB"/>
    <w:rsid w:val="00C168E8"/>
    <w:rsid w:val="00C16BC4"/>
    <w:rsid w:val="00C229C3"/>
    <w:rsid w:val="00C23905"/>
    <w:rsid w:val="00C24418"/>
    <w:rsid w:val="00C33A61"/>
    <w:rsid w:val="00C37902"/>
    <w:rsid w:val="00C448FC"/>
    <w:rsid w:val="00C47805"/>
    <w:rsid w:val="00C518D2"/>
    <w:rsid w:val="00C62240"/>
    <w:rsid w:val="00C71EF4"/>
    <w:rsid w:val="00C72BB6"/>
    <w:rsid w:val="00C73E2A"/>
    <w:rsid w:val="00C74383"/>
    <w:rsid w:val="00C75DF6"/>
    <w:rsid w:val="00C77400"/>
    <w:rsid w:val="00C8194A"/>
    <w:rsid w:val="00C85C4D"/>
    <w:rsid w:val="00C8776E"/>
    <w:rsid w:val="00C9099F"/>
    <w:rsid w:val="00CA7FA0"/>
    <w:rsid w:val="00CB07C3"/>
    <w:rsid w:val="00CB7AFA"/>
    <w:rsid w:val="00CC5EAA"/>
    <w:rsid w:val="00CD159B"/>
    <w:rsid w:val="00CF04CE"/>
    <w:rsid w:val="00D024E9"/>
    <w:rsid w:val="00D04417"/>
    <w:rsid w:val="00D270B4"/>
    <w:rsid w:val="00D31C0A"/>
    <w:rsid w:val="00D401F8"/>
    <w:rsid w:val="00D46A57"/>
    <w:rsid w:val="00D5210A"/>
    <w:rsid w:val="00D54ECF"/>
    <w:rsid w:val="00D57078"/>
    <w:rsid w:val="00D57E3D"/>
    <w:rsid w:val="00D7740A"/>
    <w:rsid w:val="00D806BB"/>
    <w:rsid w:val="00D9077C"/>
    <w:rsid w:val="00D956F4"/>
    <w:rsid w:val="00D96F51"/>
    <w:rsid w:val="00D97792"/>
    <w:rsid w:val="00D97C03"/>
    <w:rsid w:val="00DA11AE"/>
    <w:rsid w:val="00DA4985"/>
    <w:rsid w:val="00DA70E4"/>
    <w:rsid w:val="00DB0DD9"/>
    <w:rsid w:val="00DB21FC"/>
    <w:rsid w:val="00DB74D6"/>
    <w:rsid w:val="00DC0672"/>
    <w:rsid w:val="00DC4DF6"/>
    <w:rsid w:val="00DC6ADA"/>
    <w:rsid w:val="00DD2022"/>
    <w:rsid w:val="00DE1ECA"/>
    <w:rsid w:val="00DE2A24"/>
    <w:rsid w:val="00DE34AB"/>
    <w:rsid w:val="00DE47F9"/>
    <w:rsid w:val="00DF424B"/>
    <w:rsid w:val="00E01724"/>
    <w:rsid w:val="00E031F0"/>
    <w:rsid w:val="00E06D35"/>
    <w:rsid w:val="00E0723B"/>
    <w:rsid w:val="00E13F56"/>
    <w:rsid w:val="00E14A2C"/>
    <w:rsid w:val="00E14B12"/>
    <w:rsid w:val="00E17F97"/>
    <w:rsid w:val="00E22FC7"/>
    <w:rsid w:val="00E2328C"/>
    <w:rsid w:val="00E25BFC"/>
    <w:rsid w:val="00E30D79"/>
    <w:rsid w:val="00E30EB0"/>
    <w:rsid w:val="00E4406F"/>
    <w:rsid w:val="00E459A6"/>
    <w:rsid w:val="00E50904"/>
    <w:rsid w:val="00E51502"/>
    <w:rsid w:val="00E5415D"/>
    <w:rsid w:val="00E60687"/>
    <w:rsid w:val="00E669E6"/>
    <w:rsid w:val="00E71396"/>
    <w:rsid w:val="00E7531C"/>
    <w:rsid w:val="00E76A03"/>
    <w:rsid w:val="00E9717B"/>
    <w:rsid w:val="00EA4BB0"/>
    <w:rsid w:val="00EA4D73"/>
    <w:rsid w:val="00EB392C"/>
    <w:rsid w:val="00EB4A5C"/>
    <w:rsid w:val="00EC0690"/>
    <w:rsid w:val="00EC2385"/>
    <w:rsid w:val="00EC42B9"/>
    <w:rsid w:val="00ED6CCD"/>
    <w:rsid w:val="00EE2A2D"/>
    <w:rsid w:val="00EE5300"/>
    <w:rsid w:val="00EF297F"/>
    <w:rsid w:val="00EF2F00"/>
    <w:rsid w:val="00EF6B4C"/>
    <w:rsid w:val="00EF6CAD"/>
    <w:rsid w:val="00F016C1"/>
    <w:rsid w:val="00F023C2"/>
    <w:rsid w:val="00F1088D"/>
    <w:rsid w:val="00F17C80"/>
    <w:rsid w:val="00F226D6"/>
    <w:rsid w:val="00F26E5D"/>
    <w:rsid w:val="00F30122"/>
    <w:rsid w:val="00F359C6"/>
    <w:rsid w:val="00F41067"/>
    <w:rsid w:val="00F437C6"/>
    <w:rsid w:val="00F4575F"/>
    <w:rsid w:val="00F45D65"/>
    <w:rsid w:val="00F46622"/>
    <w:rsid w:val="00F52AE5"/>
    <w:rsid w:val="00F53349"/>
    <w:rsid w:val="00F61B4E"/>
    <w:rsid w:val="00F714A6"/>
    <w:rsid w:val="00F82812"/>
    <w:rsid w:val="00F83AE5"/>
    <w:rsid w:val="00F86B45"/>
    <w:rsid w:val="00F91E15"/>
    <w:rsid w:val="00FB37B5"/>
    <w:rsid w:val="00FB6592"/>
    <w:rsid w:val="00FB76A1"/>
    <w:rsid w:val="00FC52AF"/>
    <w:rsid w:val="00FC5D79"/>
    <w:rsid w:val="00FC6A30"/>
    <w:rsid w:val="00FC7138"/>
    <w:rsid w:val="00FC72A8"/>
    <w:rsid w:val="00FC794F"/>
    <w:rsid w:val="00FD5A11"/>
    <w:rsid w:val="00FE3ABC"/>
    <w:rsid w:val="00FF1174"/>
    <w:rsid w:val="00FF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1B92"/>
  <w15:docId w15:val="{78CBF31A-B042-4457-98C0-A4814116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B5"/>
    <w:pPr>
      <w:spacing w:after="160"/>
    </w:pPr>
    <w:rPr>
      <w:kern w:val="0"/>
    </w:rPr>
  </w:style>
  <w:style w:type="paragraph" w:styleId="Heading1">
    <w:name w:val="heading 1"/>
    <w:basedOn w:val="Normal"/>
    <w:next w:val="Normal"/>
    <w:link w:val="Heading1Char"/>
    <w:uiPriority w:val="9"/>
    <w:qFormat/>
    <w:rsid w:val="00DE4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4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7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7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7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7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4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7F9"/>
    <w:rPr>
      <w:rFonts w:eastAsiaTheme="majorEastAsia" w:cstheme="majorBidi"/>
      <w:color w:val="272727" w:themeColor="text1" w:themeTint="D8"/>
    </w:rPr>
  </w:style>
  <w:style w:type="paragraph" w:styleId="Title">
    <w:name w:val="Title"/>
    <w:basedOn w:val="Normal"/>
    <w:next w:val="Normal"/>
    <w:link w:val="TitleChar"/>
    <w:uiPriority w:val="10"/>
    <w:qFormat/>
    <w:rsid w:val="00DE4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7F9"/>
    <w:pPr>
      <w:spacing w:before="160"/>
      <w:jc w:val="center"/>
    </w:pPr>
    <w:rPr>
      <w:i/>
      <w:iCs/>
      <w:color w:val="404040" w:themeColor="text1" w:themeTint="BF"/>
    </w:rPr>
  </w:style>
  <w:style w:type="character" w:customStyle="1" w:styleId="QuoteChar">
    <w:name w:val="Quote Char"/>
    <w:basedOn w:val="DefaultParagraphFont"/>
    <w:link w:val="Quote"/>
    <w:uiPriority w:val="29"/>
    <w:rsid w:val="00DE47F9"/>
    <w:rPr>
      <w:i/>
      <w:iCs/>
      <w:color w:val="404040" w:themeColor="text1" w:themeTint="BF"/>
    </w:rPr>
  </w:style>
  <w:style w:type="paragraph" w:styleId="ListParagraph">
    <w:name w:val="List Paragraph"/>
    <w:basedOn w:val="Normal"/>
    <w:uiPriority w:val="34"/>
    <w:qFormat/>
    <w:rsid w:val="00DE47F9"/>
    <w:pPr>
      <w:ind w:left="720"/>
      <w:contextualSpacing/>
    </w:pPr>
  </w:style>
  <w:style w:type="character" w:styleId="IntenseEmphasis">
    <w:name w:val="Intense Emphasis"/>
    <w:basedOn w:val="DefaultParagraphFont"/>
    <w:uiPriority w:val="21"/>
    <w:qFormat/>
    <w:rsid w:val="00DE47F9"/>
    <w:rPr>
      <w:i/>
      <w:iCs/>
      <w:color w:val="0F4761" w:themeColor="accent1" w:themeShade="BF"/>
    </w:rPr>
  </w:style>
  <w:style w:type="paragraph" w:styleId="IntenseQuote">
    <w:name w:val="Intense Quote"/>
    <w:basedOn w:val="Normal"/>
    <w:next w:val="Normal"/>
    <w:link w:val="IntenseQuoteChar"/>
    <w:uiPriority w:val="30"/>
    <w:qFormat/>
    <w:rsid w:val="00DE4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7F9"/>
    <w:rPr>
      <w:i/>
      <w:iCs/>
      <w:color w:val="0F4761" w:themeColor="accent1" w:themeShade="BF"/>
    </w:rPr>
  </w:style>
  <w:style w:type="character" w:styleId="IntenseReference">
    <w:name w:val="Intense Reference"/>
    <w:basedOn w:val="DefaultParagraphFont"/>
    <w:uiPriority w:val="32"/>
    <w:qFormat/>
    <w:rsid w:val="00DE47F9"/>
    <w:rPr>
      <w:b/>
      <w:bCs/>
      <w:smallCaps/>
      <w:color w:val="0F4761" w:themeColor="accent1" w:themeShade="BF"/>
      <w:spacing w:val="5"/>
    </w:rPr>
  </w:style>
  <w:style w:type="paragraph" w:customStyle="1" w:styleId="Default">
    <w:name w:val="Default"/>
    <w:rsid w:val="00DE47F9"/>
    <w:pPr>
      <w:autoSpaceDE w:val="0"/>
      <w:autoSpaceDN w:val="0"/>
      <w:adjustRightInd w:val="0"/>
      <w:spacing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8975B5"/>
    <w:rPr>
      <w:color w:val="467886" w:themeColor="hyperlink"/>
      <w:u w:val="single"/>
    </w:rPr>
  </w:style>
  <w:style w:type="paragraph" w:styleId="Header">
    <w:name w:val="header"/>
    <w:basedOn w:val="Normal"/>
    <w:link w:val="HeaderChar"/>
    <w:uiPriority w:val="99"/>
    <w:unhideWhenUsed/>
    <w:rsid w:val="005B0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7FF"/>
    <w:rPr>
      <w:kern w:val="0"/>
    </w:rPr>
  </w:style>
  <w:style w:type="paragraph" w:styleId="Footer">
    <w:name w:val="footer"/>
    <w:basedOn w:val="Normal"/>
    <w:link w:val="FooterChar"/>
    <w:uiPriority w:val="99"/>
    <w:unhideWhenUsed/>
    <w:rsid w:val="005B0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7FF"/>
    <w:rPr>
      <w:kern w:val="0"/>
    </w:rPr>
  </w:style>
  <w:style w:type="table" w:styleId="TableGrid">
    <w:name w:val="Table Grid"/>
    <w:basedOn w:val="TableNormal"/>
    <w:uiPriority w:val="39"/>
    <w:rsid w:val="00C72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0E5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04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01029">
      <w:bodyDiv w:val="1"/>
      <w:marLeft w:val="0"/>
      <w:marRight w:val="0"/>
      <w:marTop w:val="0"/>
      <w:marBottom w:val="0"/>
      <w:divBdr>
        <w:top w:val="none" w:sz="0" w:space="0" w:color="auto"/>
        <w:left w:val="none" w:sz="0" w:space="0" w:color="auto"/>
        <w:bottom w:val="none" w:sz="0" w:space="0" w:color="auto"/>
        <w:right w:val="none" w:sz="0" w:space="0" w:color="auto"/>
      </w:divBdr>
    </w:div>
    <w:div w:id="82846479">
      <w:bodyDiv w:val="1"/>
      <w:marLeft w:val="0"/>
      <w:marRight w:val="0"/>
      <w:marTop w:val="0"/>
      <w:marBottom w:val="0"/>
      <w:divBdr>
        <w:top w:val="none" w:sz="0" w:space="0" w:color="auto"/>
        <w:left w:val="none" w:sz="0" w:space="0" w:color="auto"/>
        <w:bottom w:val="none" w:sz="0" w:space="0" w:color="auto"/>
        <w:right w:val="none" w:sz="0" w:space="0" w:color="auto"/>
      </w:divBdr>
      <w:divsChild>
        <w:div w:id="1811828214">
          <w:marLeft w:val="0"/>
          <w:marRight w:val="0"/>
          <w:marTop w:val="0"/>
          <w:marBottom w:val="0"/>
          <w:divBdr>
            <w:top w:val="none" w:sz="0" w:space="0" w:color="auto"/>
            <w:left w:val="none" w:sz="0" w:space="0" w:color="auto"/>
            <w:bottom w:val="none" w:sz="0" w:space="0" w:color="auto"/>
            <w:right w:val="none" w:sz="0" w:space="0" w:color="auto"/>
          </w:divBdr>
        </w:div>
        <w:div w:id="1825387610">
          <w:marLeft w:val="0"/>
          <w:marRight w:val="0"/>
          <w:marTop w:val="0"/>
          <w:marBottom w:val="0"/>
          <w:divBdr>
            <w:top w:val="none" w:sz="0" w:space="0" w:color="auto"/>
            <w:left w:val="none" w:sz="0" w:space="0" w:color="auto"/>
            <w:bottom w:val="none" w:sz="0" w:space="0" w:color="auto"/>
            <w:right w:val="none" w:sz="0" w:space="0" w:color="auto"/>
          </w:divBdr>
        </w:div>
      </w:divsChild>
    </w:div>
    <w:div w:id="422381529">
      <w:bodyDiv w:val="1"/>
      <w:marLeft w:val="0"/>
      <w:marRight w:val="0"/>
      <w:marTop w:val="0"/>
      <w:marBottom w:val="0"/>
      <w:divBdr>
        <w:top w:val="none" w:sz="0" w:space="0" w:color="auto"/>
        <w:left w:val="none" w:sz="0" w:space="0" w:color="auto"/>
        <w:bottom w:val="none" w:sz="0" w:space="0" w:color="auto"/>
        <w:right w:val="none" w:sz="0" w:space="0" w:color="auto"/>
      </w:divBdr>
      <w:divsChild>
        <w:div w:id="833953520">
          <w:marLeft w:val="0"/>
          <w:marRight w:val="0"/>
          <w:marTop w:val="0"/>
          <w:marBottom w:val="0"/>
          <w:divBdr>
            <w:top w:val="none" w:sz="0" w:space="0" w:color="auto"/>
            <w:left w:val="none" w:sz="0" w:space="0" w:color="auto"/>
            <w:bottom w:val="none" w:sz="0" w:space="0" w:color="auto"/>
            <w:right w:val="none" w:sz="0" w:space="0" w:color="auto"/>
          </w:divBdr>
        </w:div>
        <w:div w:id="1819297791">
          <w:marLeft w:val="0"/>
          <w:marRight w:val="0"/>
          <w:marTop w:val="0"/>
          <w:marBottom w:val="0"/>
          <w:divBdr>
            <w:top w:val="none" w:sz="0" w:space="0" w:color="auto"/>
            <w:left w:val="none" w:sz="0" w:space="0" w:color="auto"/>
            <w:bottom w:val="none" w:sz="0" w:space="0" w:color="auto"/>
            <w:right w:val="none" w:sz="0" w:space="0" w:color="auto"/>
          </w:divBdr>
        </w:div>
      </w:divsChild>
    </w:div>
    <w:div w:id="544686071">
      <w:bodyDiv w:val="1"/>
      <w:marLeft w:val="0"/>
      <w:marRight w:val="0"/>
      <w:marTop w:val="0"/>
      <w:marBottom w:val="0"/>
      <w:divBdr>
        <w:top w:val="none" w:sz="0" w:space="0" w:color="auto"/>
        <w:left w:val="none" w:sz="0" w:space="0" w:color="auto"/>
        <w:bottom w:val="none" w:sz="0" w:space="0" w:color="auto"/>
        <w:right w:val="none" w:sz="0" w:space="0" w:color="auto"/>
      </w:divBdr>
      <w:divsChild>
        <w:div w:id="1790204098">
          <w:marLeft w:val="0"/>
          <w:marRight w:val="0"/>
          <w:marTop w:val="0"/>
          <w:marBottom w:val="0"/>
          <w:divBdr>
            <w:top w:val="none" w:sz="0" w:space="0" w:color="auto"/>
            <w:left w:val="none" w:sz="0" w:space="0" w:color="auto"/>
            <w:bottom w:val="none" w:sz="0" w:space="0" w:color="auto"/>
            <w:right w:val="none" w:sz="0" w:space="0" w:color="auto"/>
          </w:divBdr>
        </w:div>
      </w:divsChild>
    </w:div>
    <w:div w:id="919868486">
      <w:bodyDiv w:val="1"/>
      <w:marLeft w:val="0"/>
      <w:marRight w:val="0"/>
      <w:marTop w:val="0"/>
      <w:marBottom w:val="0"/>
      <w:divBdr>
        <w:top w:val="none" w:sz="0" w:space="0" w:color="auto"/>
        <w:left w:val="none" w:sz="0" w:space="0" w:color="auto"/>
        <w:bottom w:val="none" w:sz="0" w:space="0" w:color="auto"/>
        <w:right w:val="none" w:sz="0" w:space="0" w:color="auto"/>
      </w:divBdr>
    </w:div>
    <w:div w:id="1190413992">
      <w:bodyDiv w:val="1"/>
      <w:marLeft w:val="0"/>
      <w:marRight w:val="0"/>
      <w:marTop w:val="0"/>
      <w:marBottom w:val="0"/>
      <w:divBdr>
        <w:top w:val="none" w:sz="0" w:space="0" w:color="auto"/>
        <w:left w:val="none" w:sz="0" w:space="0" w:color="auto"/>
        <w:bottom w:val="none" w:sz="0" w:space="0" w:color="auto"/>
        <w:right w:val="none" w:sz="0" w:space="0" w:color="auto"/>
      </w:divBdr>
    </w:div>
    <w:div w:id="1417899422">
      <w:bodyDiv w:val="1"/>
      <w:marLeft w:val="0"/>
      <w:marRight w:val="0"/>
      <w:marTop w:val="0"/>
      <w:marBottom w:val="0"/>
      <w:divBdr>
        <w:top w:val="none" w:sz="0" w:space="0" w:color="auto"/>
        <w:left w:val="none" w:sz="0" w:space="0" w:color="auto"/>
        <w:bottom w:val="none" w:sz="0" w:space="0" w:color="auto"/>
        <w:right w:val="none" w:sz="0" w:space="0" w:color="auto"/>
      </w:divBdr>
    </w:div>
    <w:div w:id="1827742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article/2024/may/08/world-scientists-climate-failure-survey-global-temperatu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0.wp.com/wattsupwiththat.com/wp-content/uploads/2024/05/Screenshot-2024-05-12-at-23.55.19.png?ss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34E8-BE74-4894-BCB7-F11C34DE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Wraith</dc:creator>
  <cp:keywords/>
  <dc:description/>
  <cp:lastModifiedBy>Jeremy Wraith</cp:lastModifiedBy>
  <cp:revision>2</cp:revision>
  <cp:lastPrinted>2024-04-19T16:03:00Z</cp:lastPrinted>
  <dcterms:created xsi:type="dcterms:W3CDTF">2024-05-22T04:08:00Z</dcterms:created>
  <dcterms:modified xsi:type="dcterms:W3CDTF">2024-05-22T04:08:00Z</dcterms:modified>
</cp:coreProperties>
</file>